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63" w:rsidRPr="006E6A63" w:rsidRDefault="006E6A63" w:rsidP="006E6A63">
      <w:pPr>
        <w:pStyle w:val="Default"/>
        <w:ind w:firstLine="709"/>
        <w:jc w:val="both"/>
        <w:rPr>
          <w:color w:val="auto"/>
        </w:rPr>
      </w:pPr>
    </w:p>
    <w:p w:rsidR="004960A4" w:rsidRPr="006E6A63" w:rsidRDefault="004960A4" w:rsidP="006E6A63">
      <w:pPr>
        <w:pStyle w:val="Default"/>
        <w:ind w:firstLine="709"/>
        <w:jc w:val="both"/>
        <w:rPr>
          <w:color w:val="auto"/>
        </w:rPr>
      </w:pPr>
      <w:r w:rsidRPr="006E6A63">
        <w:rPr>
          <w:color w:val="auto"/>
        </w:rPr>
        <w:t>М</w:t>
      </w:r>
      <w:r w:rsidR="003D702F" w:rsidRPr="006E6A63">
        <w:rPr>
          <w:color w:val="auto"/>
        </w:rPr>
        <w:t>униципальн</w:t>
      </w:r>
      <w:r w:rsidRPr="006E6A63">
        <w:rPr>
          <w:color w:val="auto"/>
        </w:rPr>
        <w:t>ая</w:t>
      </w:r>
      <w:r w:rsidR="003D702F" w:rsidRPr="006E6A63">
        <w:rPr>
          <w:color w:val="auto"/>
        </w:rPr>
        <w:t xml:space="preserve"> систем</w:t>
      </w:r>
      <w:r w:rsidRPr="006E6A63">
        <w:rPr>
          <w:color w:val="auto"/>
        </w:rPr>
        <w:t>а</w:t>
      </w:r>
      <w:r w:rsidR="003D702F" w:rsidRPr="006E6A63">
        <w:rPr>
          <w:color w:val="auto"/>
        </w:rPr>
        <w:t xml:space="preserve"> обеспечения профессионального развития педагогических работников </w:t>
      </w:r>
      <w:r w:rsidRPr="006E6A63">
        <w:rPr>
          <w:color w:val="auto"/>
        </w:rPr>
        <w:t>включает в себя три основных трека:</w:t>
      </w:r>
    </w:p>
    <w:p w:rsidR="004960A4" w:rsidRPr="006E6A63" w:rsidRDefault="0059163E" w:rsidP="006E6A63">
      <w:pPr>
        <w:pStyle w:val="Default"/>
        <w:ind w:firstLine="709"/>
        <w:jc w:val="both"/>
        <w:rPr>
          <w:color w:val="auto"/>
        </w:rPr>
      </w:pPr>
      <w:r w:rsidRPr="006E6A63">
        <w:rPr>
          <w:color w:val="auto"/>
        </w:rPr>
        <w:t>Это, во-первых,</w:t>
      </w:r>
      <w:r w:rsidR="004960A4" w:rsidRPr="006E6A63">
        <w:rPr>
          <w:color w:val="auto"/>
        </w:rPr>
        <w:t xml:space="preserve"> плановое повышение профессионального мастерства педагогических работников</w:t>
      </w:r>
      <w:r w:rsidRPr="006E6A63">
        <w:rPr>
          <w:color w:val="auto"/>
        </w:rPr>
        <w:t>.</w:t>
      </w:r>
    </w:p>
    <w:p w:rsidR="0059163E" w:rsidRPr="006E6A63" w:rsidRDefault="0059163E" w:rsidP="006E6A63">
      <w:pPr>
        <w:pStyle w:val="Default"/>
        <w:ind w:firstLine="709"/>
        <w:jc w:val="both"/>
        <w:rPr>
          <w:color w:val="auto"/>
        </w:rPr>
      </w:pPr>
      <w:r w:rsidRPr="006E6A63">
        <w:rPr>
          <w:color w:val="auto"/>
        </w:rPr>
        <w:t>Во-вторых – устранение дефицита педагогических кадров.</w:t>
      </w:r>
    </w:p>
    <w:p w:rsidR="0059163E" w:rsidRPr="006E6A63" w:rsidRDefault="0059163E" w:rsidP="006E6A63">
      <w:pPr>
        <w:pStyle w:val="Default"/>
        <w:ind w:firstLine="709"/>
        <w:jc w:val="both"/>
        <w:rPr>
          <w:color w:val="auto"/>
        </w:rPr>
      </w:pPr>
      <w:r w:rsidRPr="006E6A63">
        <w:rPr>
          <w:color w:val="auto"/>
        </w:rPr>
        <w:t>И в-третьих – это повышение квалификации педагогических работников.</w:t>
      </w:r>
    </w:p>
    <w:p w:rsidR="0059163E" w:rsidRPr="006E6A63" w:rsidRDefault="0059163E" w:rsidP="006E6A63">
      <w:pPr>
        <w:pStyle w:val="Default"/>
        <w:ind w:firstLine="709"/>
        <w:jc w:val="both"/>
        <w:rPr>
          <w:color w:val="auto"/>
        </w:rPr>
      </w:pPr>
      <w:r w:rsidRPr="006E6A63">
        <w:rPr>
          <w:color w:val="auto"/>
        </w:rPr>
        <w:t xml:space="preserve">Позволю себе </w:t>
      </w:r>
      <w:r w:rsidR="00FA05B8" w:rsidRPr="006E6A63">
        <w:rPr>
          <w:color w:val="auto"/>
        </w:rPr>
        <w:t xml:space="preserve">в своем докладе нарушить очередность треков и </w:t>
      </w:r>
      <w:r w:rsidRPr="006E6A63">
        <w:rPr>
          <w:color w:val="auto"/>
        </w:rPr>
        <w:t>свой доклад начать со второго трека – устранение дефицита педагогических кадров.</w:t>
      </w:r>
    </w:p>
    <w:p w:rsidR="0059163E" w:rsidRPr="006E6A63" w:rsidRDefault="0059163E" w:rsidP="006E6A63">
      <w:pPr>
        <w:pStyle w:val="Default"/>
        <w:ind w:firstLine="709"/>
        <w:jc w:val="both"/>
        <w:rPr>
          <w:color w:val="auto"/>
        </w:rPr>
      </w:pPr>
      <w:r w:rsidRPr="006E6A63">
        <w:rPr>
          <w:color w:val="auto"/>
        </w:rPr>
        <w:t>Дефицит кадров – это проблема федерального масштаба. И муниципальная система образования города Усть-Илимска далеко не исключение.</w:t>
      </w:r>
    </w:p>
    <w:p w:rsidR="0059163E" w:rsidRPr="006E6A63" w:rsidRDefault="0059163E" w:rsidP="006E6A63">
      <w:pPr>
        <w:pStyle w:val="Default"/>
        <w:ind w:firstLine="709"/>
        <w:jc w:val="both"/>
        <w:rPr>
          <w:color w:val="auto"/>
        </w:rPr>
      </w:pPr>
      <w:r w:rsidRPr="006E6A63">
        <w:rPr>
          <w:color w:val="auto"/>
        </w:rPr>
        <w:t xml:space="preserve">На сегодняшний день у нас нет ни одного укомплектованного </w:t>
      </w:r>
      <w:r w:rsidR="00D54580" w:rsidRPr="006E6A63">
        <w:rPr>
          <w:color w:val="auto"/>
        </w:rPr>
        <w:t xml:space="preserve">на 100% </w:t>
      </w:r>
      <w:r w:rsidRPr="006E6A63">
        <w:rPr>
          <w:color w:val="auto"/>
        </w:rPr>
        <w:t>образовательного учреждения</w:t>
      </w:r>
      <w:r w:rsidR="00D54580" w:rsidRPr="006E6A63">
        <w:rPr>
          <w:color w:val="auto"/>
        </w:rPr>
        <w:t>. Посмотрите на цифры в таблиц</w:t>
      </w:r>
      <w:r w:rsidR="008A6465" w:rsidRPr="006E6A63">
        <w:rPr>
          <w:color w:val="auto"/>
        </w:rPr>
        <w:t>ах</w:t>
      </w:r>
      <w:r w:rsidR="00D54580" w:rsidRPr="006E6A63">
        <w:rPr>
          <w:color w:val="auto"/>
        </w:rPr>
        <w:t>. Да, особых колебаний и скачков численности нет, но! Из данных таблицы видно, что средняя укомплектованность у нас составляет 66%, а это значит перегруз учителей нагрузкой, страдает качество образовательных результатов. Однако</w:t>
      </w:r>
      <w:r w:rsidR="008A6465" w:rsidRPr="006E6A63">
        <w:rPr>
          <w:color w:val="auto"/>
        </w:rPr>
        <w:t>, стабильность цифр</w:t>
      </w:r>
      <w:r w:rsidR="00D54580" w:rsidRPr="006E6A63">
        <w:rPr>
          <w:color w:val="auto"/>
        </w:rPr>
        <w:t xml:space="preserve"> </w:t>
      </w:r>
      <w:r w:rsidR="008A6465" w:rsidRPr="006E6A63">
        <w:rPr>
          <w:color w:val="auto"/>
        </w:rPr>
        <w:t>нам говорит о том, что естественный отток сотрудников восполняется персоналом с рынка труда вновь прибывшими в систему образования.</w:t>
      </w:r>
      <w:r w:rsidR="00171353" w:rsidRPr="006E6A63">
        <w:rPr>
          <w:color w:val="auto"/>
        </w:rPr>
        <w:t xml:space="preserve"> На основании</w:t>
      </w:r>
      <w:r w:rsidR="00B62499" w:rsidRPr="006E6A63">
        <w:rPr>
          <w:color w:val="auto"/>
        </w:rPr>
        <w:t xml:space="preserve"> </w:t>
      </w:r>
      <w:r w:rsidR="00171353" w:rsidRPr="006E6A63">
        <w:rPr>
          <w:color w:val="auto"/>
        </w:rPr>
        <w:t>чего</w:t>
      </w:r>
      <w:r w:rsidR="008A6465" w:rsidRPr="006E6A63">
        <w:rPr>
          <w:color w:val="auto"/>
        </w:rPr>
        <w:t xml:space="preserve"> </w:t>
      </w:r>
      <w:r w:rsidR="00171353" w:rsidRPr="006E6A63">
        <w:rPr>
          <w:color w:val="auto"/>
        </w:rPr>
        <w:t>м</w:t>
      </w:r>
      <w:r w:rsidR="00D54580" w:rsidRPr="006E6A63">
        <w:rPr>
          <w:color w:val="auto"/>
        </w:rPr>
        <w:t>ожно сделать</w:t>
      </w:r>
      <w:r w:rsidR="008A6465" w:rsidRPr="006E6A63">
        <w:rPr>
          <w:color w:val="auto"/>
        </w:rPr>
        <w:t xml:space="preserve"> вывод</w:t>
      </w:r>
      <w:r w:rsidR="00D54580" w:rsidRPr="006E6A63">
        <w:rPr>
          <w:color w:val="auto"/>
        </w:rPr>
        <w:t xml:space="preserve"> об эффективности принимаемых нами мер по привлечению кадров. </w:t>
      </w:r>
    </w:p>
    <w:p w:rsidR="0059163E" w:rsidRPr="006E6A63" w:rsidRDefault="00D54580" w:rsidP="006E6A63">
      <w:pPr>
        <w:pStyle w:val="Default"/>
        <w:ind w:firstLine="709"/>
        <w:jc w:val="both"/>
        <w:rPr>
          <w:color w:val="auto"/>
        </w:rPr>
      </w:pPr>
      <w:r w:rsidRPr="006E6A63">
        <w:rPr>
          <w:color w:val="auto"/>
        </w:rPr>
        <w:t xml:space="preserve">Так, например, </w:t>
      </w:r>
      <w:r w:rsidR="00D24C99" w:rsidRPr="006E6A63">
        <w:rPr>
          <w:color w:val="auto"/>
        </w:rPr>
        <w:t>в рамках реализации муниципальной программы «Развитие отдельных направлений социальной сферы» в образовательные учреждения трудоустроено 5 молодых специалистов, которые получили единовременную выплату.</w:t>
      </w:r>
    </w:p>
    <w:p w:rsidR="00D24C99" w:rsidRPr="006E6A63" w:rsidRDefault="00D24C99" w:rsidP="006E6A63">
      <w:pPr>
        <w:pStyle w:val="Default"/>
        <w:ind w:firstLine="709"/>
        <w:jc w:val="both"/>
        <w:rPr>
          <w:color w:val="auto"/>
        </w:rPr>
      </w:pPr>
      <w:r w:rsidRPr="006E6A63">
        <w:rPr>
          <w:color w:val="auto"/>
        </w:rPr>
        <w:t xml:space="preserve">В 2023 - 2024 учебном году в 3 муниципальных общеобразовательных учреждениях </w:t>
      </w:r>
      <w:r w:rsidR="00B0230D" w:rsidRPr="006E6A63">
        <w:rPr>
          <w:color w:val="auto"/>
        </w:rPr>
        <w:t>открыты</w:t>
      </w:r>
      <w:r w:rsidRPr="006E6A63">
        <w:rPr>
          <w:color w:val="auto"/>
        </w:rPr>
        <w:t xml:space="preserve"> класс</w:t>
      </w:r>
      <w:r w:rsidR="00B0230D" w:rsidRPr="006E6A63">
        <w:rPr>
          <w:color w:val="auto"/>
        </w:rPr>
        <w:t>ы</w:t>
      </w:r>
      <w:r w:rsidRPr="006E6A63">
        <w:rPr>
          <w:color w:val="auto"/>
        </w:rPr>
        <w:t xml:space="preserve"> психолого-педагогической направленности</w:t>
      </w:r>
      <w:r w:rsidR="00B62499" w:rsidRPr="006E6A63">
        <w:rPr>
          <w:color w:val="auto"/>
        </w:rPr>
        <w:t>, в которых</w:t>
      </w:r>
      <w:r w:rsidRPr="006E6A63">
        <w:rPr>
          <w:color w:val="auto"/>
        </w:rPr>
        <w:t xml:space="preserve"> обучается 86 учащихся.</w:t>
      </w:r>
    </w:p>
    <w:p w:rsidR="00D24C99" w:rsidRPr="006E6A63" w:rsidRDefault="00D24C99" w:rsidP="006E6A63">
      <w:pPr>
        <w:pStyle w:val="Default"/>
        <w:ind w:firstLine="709"/>
        <w:jc w:val="both"/>
        <w:rPr>
          <w:color w:val="auto"/>
        </w:rPr>
      </w:pPr>
      <w:r w:rsidRPr="006E6A63">
        <w:rPr>
          <w:color w:val="auto"/>
        </w:rPr>
        <w:t>Продолжилась реализация мероприятий в рамках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6-х-11-х классов и договора о практической подготовке обучающихся с «Усть-Илимский техникум лесопромышленных технологий и сферы услуг».</w:t>
      </w:r>
    </w:p>
    <w:p w:rsidR="00D24C99" w:rsidRPr="006E6A63" w:rsidRDefault="00C64113" w:rsidP="006E6A63">
      <w:pPr>
        <w:pStyle w:val="Default"/>
        <w:ind w:firstLine="709"/>
        <w:jc w:val="both"/>
        <w:rPr>
          <w:color w:val="auto"/>
        </w:rPr>
      </w:pPr>
      <w:r w:rsidRPr="006E6A63">
        <w:rPr>
          <w:color w:val="auto"/>
        </w:rPr>
        <w:t>Кроме того, представители системы образования в лице руководителей образовательных учреждений, председателя Комитета, заместителя председателя и директора центра развития неоднократно провод</w:t>
      </w:r>
      <w:r w:rsidR="00867B10" w:rsidRPr="006E6A63">
        <w:rPr>
          <w:color w:val="auto"/>
        </w:rPr>
        <w:t>или</w:t>
      </w:r>
      <w:r w:rsidRPr="006E6A63">
        <w:rPr>
          <w:color w:val="auto"/>
        </w:rPr>
        <w:t xml:space="preserve"> очные встречи со студентами выпускных курсов </w:t>
      </w:r>
      <w:r w:rsidR="00867B10" w:rsidRPr="006E6A63">
        <w:rPr>
          <w:color w:val="auto"/>
        </w:rPr>
        <w:t xml:space="preserve">иркутского педагогического ВУЗа, братского университета и братского педагогического </w:t>
      </w:r>
      <w:r w:rsidR="00171353" w:rsidRPr="006E6A63">
        <w:rPr>
          <w:color w:val="auto"/>
        </w:rPr>
        <w:t>колледжа</w:t>
      </w:r>
      <w:r w:rsidR="00867B10" w:rsidRPr="006E6A63">
        <w:rPr>
          <w:color w:val="auto"/>
        </w:rPr>
        <w:t>.</w:t>
      </w:r>
    </w:p>
    <w:p w:rsidR="0059163E" w:rsidRPr="006E6A63" w:rsidRDefault="00C64113" w:rsidP="006E6A63">
      <w:pPr>
        <w:pStyle w:val="Default"/>
        <w:ind w:firstLine="709"/>
        <w:jc w:val="both"/>
        <w:rPr>
          <w:color w:val="auto"/>
        </w:rPr>
      </w:pPr>
      <w:r w:rsidRPr="006E6A63">
        <w:rPr>
          <w:color w:val="auto"/>
        </w:rPr>
        <w:t>И несмотря на то, что у нас с вами нехватка 36% педагогического состава, наши педагоги продолжают повышать свою квалификацию, обеспечивают качественное образование и достигают значительных результатов в своей профессиональной деятельности.</w:t>
      </w:r>
    </w:p>
    <w:p w:rsidR="00273182" w:rsidRPr="006E6A63" w:rsidRDefault="00CC15D0" w:rsidP="006E6A63">
      <w:pPr>
        <w:pStyle w:val="Default"/>
        <w:ind w:firstLine="709"/>
        <w:jc w:val="both"/>
        <w:rPr>
          <w:color w:val="auto"/>
        </w:rPr>
      </w:pPr>
      <w:r w:rsidRPr="006E6A63">
        <w:rPr>
          <w:color w:val="auto"/>
        </w:rPr>
        <w:t>П</w:t>
      </w:r>
      <w:r w:rsidR="006F328C" w:rsidRPr="006E6A63">
        <w:rPr>
          <w:color w:val="auto"/>
        </w:rPr>
        <w:t>лановое повышение профессионального мастерства педагогических работников</w:t>
      </w:r>
      <w:r w:rsidR="00873F9E" w:rsidRPr="006E6A63">
        <w:rPr>
          <w:color w:val="auto"/>
        </w:rPr>
        <w:t xml:space="preserve">, которое </w:t>
      </w:r>
      <w:r w:rsidR="006F328C" w:rsidRPr="006E6A63">
        <w:rPr>
          <w:color w:val="auto"/>
        </w:rPr>
        <w:t>в 2023-2024 учебном году осуществлялось через реализацию планов работы по повышению профессионального маст</w:t>
      </w:r>
      <w:r w:rsidR="007A2EDB" w:rsidRPr="006E6A63">
        <w:rPr>
          <w:color w:val="auto"/>
        </w:rPr>
        <w:t xml:space="preserve">ерства педагогических работников. В планах работы прописаны основные целевые ориентиры, задачи, направления деятельности, а также показатели, которых мы с вами должны достигнуть. Планы, а также отчеты вы можете </w:t>
      </w:r>
      <w:r w:rsidR="001775BE" w:rsidRPr="006E6A63">
        <w:rPr>
          <w:color w:val="auto"/>
        </w:rPr>
        <w:t>найти</w:t>
      </w:r>
      <w:r w:rsidR="007A2EDB" w:rsidRPr="006E6A63">
        <w:rPr>
          <w:color w:val="auto"/>
        </w:rPr>
        <w:t xml:space="preserve"> на сайте комитета образования в разделе «планы работы на год». </w:t>
      </w:r>
    </w:p>
    <w:p w:rsidR="001775BE" w:rsidRPr="006E6A63" w:rsidRDefault="007A2EDB" w:rsidP="006E6A63">
      <w:pPr>
        <w:pStyle w:val="Default"/>
        <w:ind w:firstLine="709"/>
        <w:jc w:val="both"/>
        <w:rPr>
          <w:color w:val="auto"/>
        </w:rPr>
      </w:pPr>
      <w:r w:rsidRPr="006E6A63">
        <w:rPr>
          <w:color w:val="auto"/>
        </w:rPr>
        <w:t xml:space="preserve">И как все мы с вами знаем основа основ </w:t>
      </w:r>
      <w:r w:rsidR="001775BE" w:rsidRPr="006E6A63">
        <w:rPr>
          <w:color w:val="auto"/>
        </w:rPr>
        <w:t xml:space="preserve">начала деятельности </w:t>
      </w:r>
      <w:r w:rsidRPr="006E6A63">
        <w:rPr>
          <w:color w:val="auto"/>
        </w:rPr>
        <w:t>— это диагностика профессиональных дефицитов.</w:t>
      </w:r>
      <w:r w:rsidR="001775BE" w:rsidRPr="006E6A63">
        <w:rPr>
          <w:color w:val="auto"/>
        </w:rPr>
        <w:t xml:space="preserve"> Два года подряд педагогические работники и управленческие кадры проходят диагностику профессиональных дефицитов на базе цифровой экосистемы. Диагностика включа</w:t>
      </w:r>
      <w:r w:rsidR="0055045A" w:rsidRPr="006E6A63">
        <w:rPr>
          <w:color w:val="auto"/>
        </w:rPr>
        <w:t>ет</w:t>
      </w:r>
      <w:r w:rsidR="001775BE" w:rsidRPr="006E6A63">
        <w:rPr>
          <w:color w:val="auto"/>
        </w:rPr>
        <w:t xml:space="preserve"> в себя три типа:</w:t>
      </w:r>
    </w:p>
    <w:p w:rsidR="001775BE" w:rsidRPr="006E6A63" w:rsidRDefault="001775BE" w:rsidP="006E6A63">
      <w:pPr>
        <w:pStyle w:val="Default"/>
        <w:numPr>
          <w:ilvl w:val="0"/>
          <w:numId w:val="3"/>
        </w:numPr>
        <w:tabs>
          <w:tab w:val="left" w:pos="993"/>
        </w:tabs>
        <w:ind w:left="0" w:firstLine="709"/>
        <w:jc w:val="both"/>
        <w:rPr>
          <w:color w:val="auto"/>
        </w:rPr>
      </w:pPr>
      <w:r w:rsidRPr="006E6A63">
        <w:rPr>
          <w:color w:val="auto"/>
        </w:rPr>
        <w:t>диагностика предметных компетенций для учителей математики, химии, физики и биологии (в прошлом году диагностику проходили также учителя русского языка и литературы);</w:t>
      </w:r>
    </w:p>
    <w:p w:rsidR="001775BE" w:rsidRPr="006E6A63" w:rsidRDefault="001775BE" w:rsidP="006E6A63">
      <w:pPr>
        <w:pStyle w:val="Default"/>
        <w:numPr>
          <w:ilvl w:val="0"/>
          <w:numId w:val="3"/>
        </w:numPr>
        <w:tabs>
          <w:tab w:val="left" w:pos="993"/>
        </w:tabs>
        <w:ind w:left="0" w:firstLine="709"/>
        <w:jc w:val="both"/>
        <w:rPr>
          <w:color w:val="auto"/>
        </w:rPr>
      </w:pPr>
      <w:r w:rsidRPr="006E6A63">
        <w:rPr>
          <w:color w:val="auto"/>
        </w:rPr>
        <w:lastRenderedPageBreak/>
        <w:t>диагностика управленческих компетенций для руководителей и заместителей руководителей;</w:t>
      </w:r>
    </w:p>
    <w:p w:rsidR="00273182" w:rsidRPr="006E6A63" w:rsidRDefault="001775BE" w:rsidP="006E6A63">
      <w:pPr>
        <w:pStyle w:val="Default"/>
        <w:numPr>
          <w:ilvl w:val="0"/>
          <w:numId w:val="3"/>
        </w:numPr>
        <w:tabs>
          <w:tab w:val="left" w:pos="993"/>
        </w:tabs>
        <w:ind w:left="0" w:firstLine="709"/>
        <w:jc w:val="both"/>
        <w:rPr>
          <w:color w:val="auto"/>
        </w:rPr>
      </w:pPr>
      <w:r w:rsidRPr="006E6A63">
        <w:rPr>
          <w:color w:val="auto"/>
        </w:rPr>
        <w:t>диагностика ИКТ-компетенции для административно-управленческого и педагогического персонала.</w:t>
      </w:r>
    </w:p>
    <w:p w:rsidR="001775BE" w:rsidRPr="006E6A63" w:rsidRDefault="0055045A" w:rsidP="006E6A63">
      <w:pPr>
        <w:pStyle w:val="Default"/>
        <w:tabs>
          <w:tab w:val="left" w:pos="993"/>
        </w:tabs>
        <w:ind w:firstLine="709"/>
        <w:jc w:val="both"/>
        <w:rPr>
          <w:color w:val="auto"/>
        </w:rPr>
      </w:pPr>
      <w:r w:rsidRPr="006E6A63">
        <w:rPr>
          <w:color w:val="auto"/>
        </w:rPr>
        <w:t xml:space="preserve">На слайде показан охват за два года. Обратите внимание, что </w:t>
      </w:r>
      <w:r w:rsidR="00D44B7C" w:rsidRPr="006E6A63">
        <w:rPr>
          <w:color w:val="auto"/>
        </w:rPr>
        <w:t xml:space="preserve">по муниципалитету </w:t>
      </w:r>
      <w:r w:rsidRPr="006E6A63">
        <w:rPr>
          <w:color w:val="auto"/>
        </w:rPr>
        <w:t>у нас прослеживается тенденция по снижению количества участников</w:t>
      </w:r>
      <w:r w:rsidR="00D44B7C" w:rsidRPr="006E6A63">
        <w:rPr>
          <w:color w:val="auto"/>
        </w:rPr>
        <w:t>.</w:t>
      </w:r>
    </w:p>
    <w:p w:rsidR="00D44B7C" w:rsidRPr="006E6A63" w:rsidRDefault="00A23D1C" w:rsidP="006E6A63">
      <w:pPr>
        <w:pStyle w:val="Default"/>
        <w:ind w:firstLine="709"/>
        <w:jc w:val="both"/>
        <w:rPr>
          <w:color w:val="auto"/>
        </w:rPr>
      </w:pPr>
      <w:r w:rsidRPr="006E6A63">
        <w:rPr>
          <w:color w:val="auto"/>
        </w:rPr>
        <w:t>На слайде представлен охват разными категориями участников в разных типах диагностик. Незначительная положительная динамика участия прослеживается в диагностике предметных компетенций учителей физики и в диагностике ИКТ-компетенций.</w:t>
      </w:r>
    </w:p>
    <w:p w:rsidR="00A23D1C" w:rsidRPr="006E6A63" w:rsidRDefault="00A23D1C" w:rsidP="006E6A63">
      <w:pPr>
        <w:pStyle w:val="Default"/>
        <w:ind w:firstLine="709"/>
        <w:jc w:val="both"/>
        <w:rPr>
          <w:color w:val="auto"/>
        </w:rPr>
      </w:pPr>
      <w:r w:rsidRPr="006E6A63">
        <w:rPr>
          <w:color w:val="auto"/>
        </w:rPr>
        <w:t>Продолжая говорить о количественном участии в диагностике, стоит отметить такой факт, что охват учителей диагностикой профессиональных компетенций - это показатель самодиагностики участников-школ проекта «Школа Минпросвещения России» магистрального направления «Учитель. Школьная команда». При интерпретации в балловую систему мы видим положительную динамику данного показателя: 21% учреждений увеличили количество баллов по показателю, у 79% показатель остался без изменений, стоит отметить, что из этого количества 63% и так показали максимальное количество баллов.</w:t>
      </w:r>
    </w:p>
    <w:p w:rsidR="00FE526C" w:rsidRPr="006E6A63" w:rsidRDefault="00FE526C" w:rsidP="006E6A63">
      <w:pPr>
        <w:pStyle w:val="Default"/>
        <w:ind w:firstLine="709"/>
        <w:jc w:val="both"/>
        <w:rPr>
          <w:color w:val="auto"/>
        </w:rPr>
      </w:pPr>
      <w:r w:rsidRPr="006E6A63">
        <w:rPr>
          <w:color w:val="auto"/>
        </w:rPr>
        <w:t>Результаты диагностики доступны в обобщенном виде, но даже на их основе можно получить картину сформированности оцениваемых компетенций. На слайде представлены обобщенные результаты прохождения диагностики по уровням сформированности компетенций</w:t>
      </w:r>
      <w:r w:rsidR="00235A16" w:rsidRPr="006E6A63">
        <w:rPr>
          <w:color w:val="auto"/>
        </w:rPr>
        <w:t xml:space="preserve"> в 2024г.</w:t>
      </w:r>
    </w:p>
    <w:p w:rsidR="00A23D1C" w:rsidRPr="006E6A63" w:rsidRDefault="00235A16" w:rsidP="006E6A63">
      <w:pPr>
        <w:pStyle w:val="Default"/>
        <w:ind w:firstLine="709"/>
        <w:jc w:val="both"/>
        <w:rPr>
          <w:color w:val="auto"/>
        </w:rPr>
      </w:pPr>
      <w:r w:rsidRPr="006E6A63">
        <w:rPr>
          <w:color w:val="auto"/>
        </w:rPr>
        <w:t xml:space="preserve">Обратите внимание, что </w:t>
      </w:r>
      <w:r w:rsidR="00FE526C" w:rsidRPr="006E6A63">
        <w:rPr>
          <w:color w:val="auto"/>
        </w:rPr>
        <w:t xml:space="preserve">у </w:t>
      </w:r>
      <w:r w:rsidRPr="006E6A63">
        <w:rPr>
          <w:color w:val="auto"/>
        </w:rPr>
        <w:t>участников диагностики</w:t>
      </w:r>
      <w:r w:rsidR="00FE526C" w:rsidRPr="006E6A63">
        <w:rPr>
          <w:color w:val="auto"/>
        </w:rPr>
        <w:t xml:space="preserve"> преобладает базовый уровень сформированности компетенций, что говорит об эффективности стратегии повышения профессионального мастерства как на институциональном уровне, так и на уровне муниципальной системы образования города Усть-Илимска.</w:t>
      </w:r>
    </w:p>
    <w:p w:rsidR="00E206AF" w:rsidRPr="006E6A63" w:rsidRDefault="00E206AF" w:rsidP="006E6A63">
      <w:pPr>
        <w:pStyle w:val="Default"/>
        <w:ind w:firstLine="709"/>
        <w:jc w:val="both"/>
        <w:rPr>
          <w:color w:val="auto"/>
        </w:rPr>
      </w:pPr>
      <w:r w:rsidRPr="006E6A63">
        <w:rPr>
          <w:color w:val="auto"/>
        </w:rPr>
        <w:t>Подводя итог моему информационному сообщению о результатах прохождения диагностики, хочу обратить ваше внимание на следующие выявленные проблемы:</w:t>
      </w:r>
    </w:p>
    <w:p w:rsidR="00BF6843" w:rsidRPr="006E6A63" w:rsidRDefault="00324A1E" w:rsidP="006E6A63">
      <w:pPr>
        <w:pStyle w:val="Default"/>
        <w:numPr>
          <w:ilvl w:val="0"/>
          <w:numId w:val="4"/>
        </w:numPr>
        <w:tabs>
          <w:tab w:val="clear" w:pos="720"/>
          <w:tab w:val="num" w:pos="993"/>
        </w:tabs>
        <w:ind w:left="0" w:firstLine="709"/>
        <w:jc w:val="both"/>
        <w:rPr>
          <w:color w:val="auto"/>
        </w:rPr>
      </w:pPr>
      <w:r w:rsidRPr="006E6A63">
        <w:rPr>
          <w:color w:val="auto"/>
        </w:rPr>
        <w:t>Отсутствие 100% охвата, не позволяет объективн</w:t>
      </w:r>
      <w:r w:rsidR="003B108F" w:rsidRPr="006E6A63">
        <w:rPr>
          <w:color w:val="auto"/>
        </w:rPr>
        <w:t xml:space="preserve">о </w:t>
      </w:r>
      <w:proofErr w:type="spellStart"/>
      <w:r w:rsidR="003B108F" w:rsidRPr="006E6A63">
        <w:rPr>
          <w:color w:val="auto"/>
        </w:rPr>
        <w:t>оцнить</w:t>
      </w:r>
      <w:proofErr w:type="spellEnd"/>
      <w:r w:rsidRPr="006E6A63">
        <w:rPr>
          <w:color w:val="auto"/>
        </w:rPr>
        <w:t xml:space="preserve"> ситуацию имеющихся профессиональных дефицитов педагогических кадров.</w:t>
      </w:r>
    </w:p>
    <w:p w:rsidR="00BF6843" w:rsidRPr="006E6A63" w:rsidRDefault="00324A1E" w:rsidP="006E6A63">
      <w:pPr>
        <w:pStyle w:val="Default"/>
        <w:numPr>
          <w:ilvl w:val="0"/>
          <w:numId w:val="4"/>
        </w:numPr>
        <w:tabs>
          <w:tab w:val="clear" w:pos="720"/>
          <w:tab w:val="num" w:pos="993"/>
        </w:tabs>
        <w:ind w:left="0" w:firstLine="709"/>
        <w:jc w:val="both"/>
        <w:rPr>
          <w:color w:val="auto"/>
        </w:rPr>
      </w:pPr>
      <w:r w:rsidRPr="006E6A63">
        <w:rPr>
          <w:color w:val="auto"/>
        </w:rPr>
        <w:t xml:space="preserve"> Отсутствие 100% охвата, требует проведения других процедур выявления профессиональных затруднений на уровне образовательных учреждений.</w:t>
      </w:r>
    </w:p>
    <w:p w:rsidR="00E206AF" w:rsidRPr="006E6A63" w:rsidRDefault="00E206AF" w:rsidP="006E6A63">
      <w:pPr>
        <w:pStyle w:val="Default"/>
        <w:numPr>
          <w:ilvl w:val="0"/>
          <w:numId w:val="4"/>
        </w:numPr>
        <w:tabs>
          <w:tab w:val="clear" w:pos="720"/>
          <w:tab w:val="num" w:pos="993"/>
        </w:tabs>
        <w:ind w:left="0" w:firstLine="709"/>
        <w:jc w:val="both"/>
        <w:rPr>
          <w:color w:val="auto"/>
        </w:rPr>
      </w:pPr>
      <w:r w:rsidRPr="006E6A63">
        <w:rPr>
          <w:color w:val="auto"/>
        </w:rPr>
        <w:t>Педагогические работники не заинтересованы в прохождении федеральных диагностических процедур.</w:t>
      </w:r>
    </w:p>
    <w:p w:rsidR="00E206AF" w:rsidRPr="006E6A63" w:rsidRDefault="00E206AF" w:rsidP="006E6A63">
      <w:pPr>
        <w:pStyle w:val="Default"/>
        <w:ind w:firstLine="709"/>
        <w:jc w:val="both"/>
        <w:rPr>
          <w:color w:val="auto"/>
        </w:rPr>
      </w:pPr>
      <w:r w:rsidRPr="006E6A63">
        <w:rPr>
          <w:color w:val="auto"/>
        </w:rPr>
        <w:t>Однако используя результаты диагностики педагогическому работнику необходимо построить индивидуальный образовательный маршрут.</w:t>
      </w:r>
    </w:p>
    <w:p w:rsidR="00BB025A" w:rsidRPr="006E6A63" w:rsidRDefault="00AD3B8D" w:rsidP="006E6A63">
      <w:pPr>
        <w:pStyle w:val="Default"/>
        <w:ind w:firstLine="709"/>
        <w:jc w:val="both"/>
        <w:rPr>
          <w:color w:val="auto"/>
        </w:rPr>
      </w:pPr>
      <w:r w:rsidRPr="006E6A63">
        <w:rPr>
          <w:color w:val="auto"/>
        </w:rPr>
        <w:t>Основным документом, регламентирующим методическую деятельность педагогического сообщества, является положение об индивидуальном образовательном маршруте непрерывного повышения профессионального мастерства педагогических работников и управленских кадров Иркутской области. В помощь педагогам Центром непрерывного повышения профессионального мастерства организована работа по адресному сопровождению непрерывного профессионального развития педагогов Иркутской области в форме индивидуального образовательного маршрута. Для проектирования и реализации индивидуальных образовательных маршрутов Институтом развития образования была разработана автоматизированная информационная система «АИС ИОМ-Офис.38»</w:t>
      </w:r>
    </w:p>
    <w:p w:rsidR="007162A1" w:rsidRPr="006E6A63" w:rsidRDefault="00B67125" w:rsidP="006E6A63">
      <w:pPr>
        <w:pStyle w:val="Default"/>
        <w:ind w:firstLine="709"/>
        <w:jc w:val="both"/>
        <w:rPr>
          <w:color w:val="auto"/>
        </w:rPr>
      </w:pPr>
      <w:r w:rsidRPr="006E6A63">
        <w:rPr>
          <w:color w:val="auto"/>
        </w:rPr>
        <w:t>В таблице представлена динамика изменения показателя «доля учителей, для которых по результатам диагностики разработаны индивидуальные образовательные маршруты» по результатам самодиагностики муниципальных общеобразовательных учреждений в рамках федерального проекта «Школа Минпросвещения России».</w:t>
      </w:r>
    </w:p>
    <w:p w:rsidR="00B67125" w:rsidRPr="006E6A63" w:rsidRDefault="00B67125" w:rsidP="006E6A63">
      <w:pPr>
        <w:pStyle w:val="Default"/>
        <w:ind w:firstLine="709"/>
        <w:jc w:val="both"/>
        <w:rPr>
          <w:color w:val="auto"/>
        </w:rPr>
      </w:pPr>
      <w:r w:rsidRPr="006E6A63">
        <w:rPr>
          <w:color w:val="auto"/>
        </w:rPr>
        <w:t>Из данных видно, что наблюдается положительная динамика у 50% общеобразовательных учреждений, что говорит об эффективности принятых управленческих решений как на институциональном, так и на муниципальном уровнях.</w:t>
      </w:r>
    </w:p>
    <w:p w:rsidR="007162A1" w:rsidRPr="006E6A63" w:rsidRDefault="00B67125" w:rsidP="006E6A63">
      <w:pPr>
        <w:pStyle w:val="Default"/>
        <w:ind w:firstLine="709"/>
        <w:jc w:val="both"/>
        <w:rPr>
          <w:color w:val="auto"/>
        </w:rPr>
      </w:pPr>
      <w:r w:rsidRPr="006E6A63">
        <w:rPr>
          <w:color w:val="auto"/>
        </w:rPr>
        <w:t xml:space="preserve">Показатель «доля педагогических работников, для которых разработаны индивидуальные образовательные маршруты на основе результатов диагностики </w:t>
      </w:r>
      <w:r w:rsidRPr="006E6A63">
        <w:rPr>
          <w:color w:val="auto"/>
        </w:rPr>
        <w:lastRenderedPageBreak/>
        <w:t xml:space="preserve">профессиональных компетенций» высчитывается из данных выгрузки системы «ИОМ-ОФИС.38». Количество зарегистрировавшихся, количество составивших индивидуальный маршрут, подсчитывается в личном кабинете муниципального координатора. </w:t>
      </w:r>
    </w:p>
    <w:p w:rsidR="00B67125" w:rsidRPr="006E6A63" w:rsidRDefault="00B67125" w:rsidP="006E6A63">
      <w:pPr>
        <w:pStyle w:val="Default"/>
        <w:ind w:firstLine="709"/>
        <w:jc w:val="both"/>
        <w:rPr>
          <w:color w:val="auto"/>
        </w:rPr>
      </w:pPr>
      <w:r w:rsidRPr="006E6A63">
        <w:rPr>
          <w:color w:val="auto"/>
        </w:rPr>
        <w:t xml:space="preserve">Из данных </w:t>
      </w:r>
      <w:r w:rsidR="006E6A63" w:rsidRPr="006E6A63">
        <w:rPr>
          <w:color w:val="auto"/>
        </w:rPr>
        <w:t>таблицы видно</w:t>
      </w:r>
      <w:r w:rsidRPr="006E6A63">
        <w:rPr>
          <w:color w:val="auto"/>
        </w:rPr>
        <w:t>, что 71% общеобразовательных учреждений показывают увеличение числа учителей, зарегистрированных в региональной системе по построению индивидуальных маршрутов. К факторам, влияющим на количество участников системы, можно отнести наличие возможности для педагогов в 2023-2024 учебном году построить индивидуальный маршрут только по двум трекам: «Мастерская классного руководителя»; «ИКТ-компетентность». Также система является новой разработкой и не все функции необходимые пользователю удобны для работы с ней, так, например, отсутствует кабинет координатора образовательного учреждения. Отсутствие контроля влияет на цель и качество построения маршрута. Педагоги не могут на уровне образовательного учреждения получить своевременную и актуальную консультацию по построению маршрута в системе. Однако, в 2024 году появилась возможность построения индивидуального образовательного маршрута с персональным сопровождением членов регионального методического актива.</w:t>
      </w:r>
    </w:p>
    <w:p w:rsidR="007162A1" w:rsidRPr="006E6A63" w:rsidRDefault="00BB483E" w:rsidP="006E6A63">
      <w:pPr>
        <w:pStyle w:val="Default"/>
        <w:ind w:firstLine="709"/>
        <w:jc w:val="both"/>
        <w:rPr>
          <w:color w:val="auto"/>
        </w:rPr>
      </w:pPr>
      <w:r w:rsidRPr="006E6A63">
        <w:rPr>
          <w:color w:val="auto"/>
        </w:rPr>
        <w:t>С целью обеспечения на муниципальном уровне организационных и методических условий для формирования эффективной системы поддержки, самоопределения и профессиональной ориентации педагогических работников и молодых специалистов, работающих в муниципальных образовательных учреждениях реализуется целевая модель наставничества.</w:t>
      </w:r>
    </w:p>
    <w:p w:rsidR="00BB483E" w:rsidRPr="006E6A63" w:rsidRDefault="00BB483E" w:rsidP="006E6A63">
      <w:pPr>
        <w:pStyle w:val="Default"/>
        <w:ind w:firstLine="709"/>
        <w:jc w:val="both"/>
        <w:rPr>
          <w:color w:val="auto"/>
        </w:rPr>
      </w:pPr>
      <w:r w:rsidRPr="006E6A63">
        <w:rPr>
          <w:color w:val="auto"/>
        </w:rPr>
        <w:t>Говоря об эффективности реализации целевой модели в образовательных учреждениях не могу не сказать о том, что педагоги муниципальных образовательных учреждений успешно представили свои практики на III Региональном конкурсе наставников в системе образования Иркутской области «Наставник 38».</w:t>
      </w:r>
    </w:p>
    <w:p w:rsidR="00937F94" w:rsidRPr="006E6A63" w:rsidRDefault="00937F94" w:rsidP="006E6A63">
      <w:pPr>
        <w:pStyle w:val="Default"/>
        <w:ind w:firstLine="709"/>
        <w:jc w:val="both"/>
        <w:rPr>
          <w:color w:val="auto"/>
        </w:rPr>
      </w:pPr>
      <w:r w:rsidRPr="006E6A63">
        <w:rPr>
          <w:color w:val="auto"/>
        </w:rPr>
        <w:t>Из описанной ситуации можно сделать вывод об эффективности работы муниципальной системы образования по направлению «наставничество»</w:t>
      </w:r>
    </w:p>
    <w:p w:rsidR="00305635" w:rsidRPr="006E6A63" w:rsidRDefault="00305635" w:rsidP="006E6A63">
      <w:pPr>
        <w:pStyle w:val="a6"/>
        <w:shd w:val="clear" w:color="auto" w:fill="FFFFFF"/>
        <w:tabs>
          <w:tab w:val="left" w:pos="14742"/>
        </w:tabs>
        <w:spacing w:before="0" w:beforeAutospacing="0" w:after="0" w:afterAutospacing="0"/>
        <w:ind w:firstLine="709"/>
        <w:jc w:val="both"/>
      </w:pPr>
      <w:r w:rsidRPr="006E6A63">
        <w:t xml:space="preserve">Повышение профессионального мастерства </w:t>
      </w:r>
      <w:r w:rsidR="00D03C9E" w:rsidRPr="006E6A63">
        <w:t xml:space="preserve">также </w:t>
      </w:r>
      <w:r w:rsidRPr="006E6A63">
        <w:t>организуется через сетевое взаимодействие педагогов. В 2023-2024 году успешно осуществлял свою деятельность совет руководителей городских педагогических сообществ. Руководители ГПС мотивируют педагогов на участие в различных сетевых сообществах (профессиональных ассоциациях) на муниципальном, региональном уровнях. Сегодня педагоги ГПС используют в</w:t>
      </w:r>
      <w:r w:rsidRPr="006E6A63">
        <w:rPr>
          <w:shd w:val="clear" w:color="auto" w:fill="FFFFFF"/>
        </w:rPr>
        <w:t>иртуальное пространство для общения и обмена опытом, вступают в сетевые педагогические сообщества, представляют свой опыт на открытых площадках, публикуют свои практики на различных образовательных сайтах.</w:t>
      </w:r>
    </w:p>
    <w:p w:rsidR="007162A1" w:rsidRPr="006E6A63" w:rsidRDefault="00305635" w:rsidP="006E6A63">
      <w:pPr>
        <w:pStyle w:val="Default"/>
        <w:ind w:firstLine="709"/>
        <w:jc w:val="both"/>
        <w:rPr>
          <w:color w:val="auto"/>
        </w:rPr>
      </w:pPr>
      <w:r w:rsidRPr="006E6A63">
        <w:rPr>
          <w:bCs/>
          <w:color w:val="auto"/>
        </w:rPr>
        <w:t xml:space="preserve">С целью </w:t>
      </w:r>
      <w:r w:rsidRPr="006E6A63">
        <w:rPr>
          <w:color w:val="auto"/>
        </w:rPr>
        <w:t xml:space="preserve">реализации мер по развитию «горизонтального обучения», наставничества и </w:t>
      </w:r>
      <w:proofErr w:type="spellStart"/>
      <w:r w:rsidRPr="006E6A63">
        <w:rPr>
          <w:color w:val="auto"/>
        </w:rPr>
        <w:t>менторства</w:t>
      </w:r>
      <w:proofErr w:type="spellEnd"/>
      <w:r w:rsidRPr="006E6A63">
        <w:rPr>
          <w:color w:val="auto"/>
        </w:rPr>
        <w:t>, распространения лучшего опыта работы по повышению качества образования в течении учебного года проведено 13 городских семинаров в рамках муниципального методического проекта «Школа-школе». Кроме того, на базе общеобразовательных учреждений осуществляет свою деятельность 11 инновационных площадок.</w:t>
      </w:r>
    </w:p>
    <w:p w:rsidR="007162A1" w:rsidRPr="006E6A63" w:rsidRDefault="00504266" w:rsidP="006E6A63">
      <w:pPr>
        <w:pStyle w:val="Default"/>
        <w:ind w:firstLine="709"/>
        <w:jc w:val="both"/>
        <w:rPr>
          <w:color w:val="auto"/>
        </w:rPr>
      </w:pPr>
      <w:r w:rsidRPr="006E6A63">
        <w:rPr>
          <w:color w:val="auto"/>
        </w:rPr>
        <w:t>Конкурсы педагогического мастерства можно рассматривать как этап повышения профессионализма педагогов, как открытое массовое педагогическое соревнование учителей. Освоение технологии самоанализа педагогического опыта в процессе подготовки к конкурсным мероприятиям, выделения наиболее ценных компонентов, выработка умения оценить свои педагогические находки – все это необходимо для успешного профессионального роста. Работа, которая проводится в данном направлении, показала, что в настоящее время в городе сформирована система профессиональных педагогических конкурсов. Основная масса конкурсных мероприятий являются традиционными и проводятся на протяжении многих лет.</w:t>
      </w:r>
      <w:r w:rsidR="00E47CE2" w:rsidRPr="006E6A63">
        <w:rPr>
          <w:color w:val="auto"/>
        </w:rPr>
        <w:t xml:space="preserve"> В целом число участников муниципальных конкурсов растет, однако резко сократилось число участников конкурса «Мой лучший урок по ФГОС».</w:t>
      </w:r>
    </w:p>
    <w:p w:rsidR="00E47CE2" w:rsidRPr="006E6A63" w:rsidRDefault="00E47CE2" w:rsidP="006E6A63">
      <w:pPr>
        <w:pStyle w:val="a6"/>
        <w:shd w:val="clear" w:color="auto" w:fill="FFFFFF"/>
        <w:spacing w:before="0" w:beforeAutospacing="0" w:after="0" w:afterAutospacing="0"/>
        <w:ind w:firstLine="709"/>
        <w:jc w:val="both"/>
        <w:rPr>
          <w:b/>
        </w:rPr>
      </w:pPr>
      <w:r w:rsidRPr="006E6A63">
        <w:t xml:space="preserve">Профессиональные конкурсы проходят в достаточном количестве и по разным направлениям, и для тех, кто желает продемонстрировать свой уровень всегда есть такая возможность. Порядка 50% и выше на муниципальном уровне за 3 года приняли участие </w:t>
      </w:r>
      <w:r w:rsidRPr="006E6A63">
        <w:lastRenderedPageBreak/>
        <w:t>только педагоги школ</w:t>
      </w:r>
      <w:r w:rsidR="00324A1E" w:rsidRPr="006E6A63">
        <w:t xml:space="preserve">. </w:t>
      </w:r>
      <w:r w:rsidRPr="006E6A63">
        <w:t>Востребованными для педагогического сообщества остаются командные конкурсы, такие как «Педагогический импульс» и «Лучшая управленческая команда».</w:t>
      </w:r>
    </w:p>
    <w:p w:rsidR="0008681F" w:rsidRPr="006E6A63" w:rsidRDefault="00A63FCB" w:rsidP="006E6A63">
      <w:pPr>
        <w:pStyle w:val="Default"/>
        <w:ind w:firstLine="709"/>
        <w:jc w:val="both"/>
        <w:rPr>
          <w:color w:val="auto"/>
        </w:rPr>
      </w:pPr>
      <w:r w:rsidRPr="006E6A63">
        <w:rPr>
          <w:color w:val="auto"/>
        </w:rPr>
        <w:t>Безусловно «горизонтальное обучение» это эффективный инструмент профессионального развития. Но не стоит забывать и о повышении</w:t>
      </w:r>
      <w:r w:rsidR="00674442" w:rsidRPr="006E6A63">
        <w:rPr>
          <w:color w:val="auto"/>
        </w:rPr>
        <w:t xml:space="preserve"> квалификации. </w:t>
      </w:r>
      <w:r w:rsidR="0008681F" w:rsidRPr="006E6A63">
        <w:rPr>
          <w:color w:val="auto"/>
        </w:rPr>
        <w:t xml:space="preserve">В настоящее время среди приоритетных направлений выделяются: </w:t>
      </w:r>
    </w:p>
    <w:p w:rsidR="0008681F" w:rsidRPr="006E6A63" w:rsidRDefault="0008681F" w:rsidP="006E6A63">
      <w:pPr>
        <w:pStyle w:val="Default"/>
        <w:ind w:firstLine="709"/>
        <w:jc w:val="both"/>
        <w:rPr>
          <w:color w:val="auto"/>
        </w:rPr>
      </w:pPr>
      <w:r w:rsidRPr="006E6A63">
        <w:rPr>
          <w:color w:val="auto"/>
        </w:rPr>
        <w:t xml:space="preserve">повышение квалификации по вопросам, связанным с введением обновленных ФГОС; </w:t>
      </w:r>
    </w:p>
    <w:p w:rsidR="0008681F" w:rsidRPr="006E6A63" w:rsidRDefault="0008681F" w:rsidP="006E6A63">
      <w:pPr>
        <w:pStyle w:val="Default"/>
        <w:ind w:firstLine="709"/>
        <w:jc w:val="both"/>
        <w:rPr>
          <w:color w:val="auto"/>
        </w:rPr>
      </w:pPr>
      <w:r w:rsidRPr="006E6A63">
        <w:rPr>
          <w:color w:val="auto"/>
        </w:rPr>
        <w:t>повышение квалификации по вопросам, связанным с внедрением цифровой образовательной среды;</w:t>
      </w:r>
    </w:p>
    <w:p w:rsidR="007162A1" w:rsidRPr="006E6A63" w:rsidRDefault="0008681F" w:rsidP="006E6A63">
      <w:pPr>
        <w:pStyle w:val="Default"/>
        <w:ind w:firstLine="709"/>
        <w:jc w:val="both"/>
        <w:rPr>
          <w:color w:val="auto"/>
        </w:rPr>
      </w:pPr>
      <w:r w:rsidRPr="006E6A63">
        <w:rPr>
          <w:color w:val="auto"/>
        </w:rPr>
        <w:t>повышение квалификации по вопросам формирования и оценки функциональной грамотности обучающихся.</w:t>
      </w:r>
    </w:p>
    <w:p w:rsidR="00674442" w:rsidRPr="006E6A63" w:rsidRDefault="00674442" w:rsidP="006E6A63">
      <w:pPr>
        <w:pStyle w:val="Default"/>
        <w:ind w:firstLine="709"/>
        <w:jc w:val="both"/>
        <w:rPr>
          <w:color w:val="000000" w:themeColor="text1"/>
        </w:rPr>
      </w:pPr>
      <w:r w:rsidRPr="006E6A63">
        <w:rPr>
          <w:color w:val="000000" w:themeColor="text1"/>
        </w:rPr>
        <w:t>По данным АИС «Мониторинг ДПП» за 2023-2024 учебный год освоено 1400 различных курсов повышения квалификации и программ переподготовки.</w:t>
      </w:r>
    </w:p>
    <w:p w:rsidR="00674442" w:rsidRPr="006E6A63" w:rsidRDefault="00674442" w:rsidP="006E6A63">
      <w:pPr>
        <w:pStyle w:val="Default"/>
        <w:ind w:firstLine="709"/>
        <w:jc w:val="both"/>
        <w:rPr>
          <w:color w:val="auto"/>
        </w:rPr>
      </w:pPr>
      <w:r w:rsidRPr="006E6A63">
        <w:t xml:space="preserve">Спектр направлений курсов повышения квалификации и профессиональной переподготовки достаточно широк. Наибольшую популярность за прошедший учебный год имеют курсы по таким направлениям как обновленные ФГОС (20%), оказание первой помощи и ФГОС ОВЗ (по 15%). Актуальными по-прежнему остаются такие направления, как повышение качества образования и воспитательная работа (по 10%). </w:t>
      </w:r>
      <w:r w:rsidRPr="006E6A63">
        <w:rPr>
          <w:bCs/>
        </w:rPr>
        <w:t>Педагогические работники также проявили интерес к блоку курсов по программам предметной направленности и педагогических технологий (по 5%). В</w:t>
      </w:r>
      <w:r w:rsidRPr="006E6A63">
        <w:t xml:space="preserve">ажными направлениями для педагогов и руководителей муниципальных образовательных учреждений остаются такие направления, как </w:t>
      </w:r>
      <w:proofErr w:type="spellStart"/>
      <w:r w:rsidRPr="006E6A63">
        <w:t>цифровизация</w:t>
      </w:r>
      <w:proofErr w:type="spellEnd"/>
      <w:r w:rsidRPr="006E6A63">
        <w:t>, эффективная деятельность управленческой команды, профилактика суицидального поведения, информационная безопасность, а также блок курсов повышения квалификации по обеспечению комплексной, антитеррористической и пожарной безопасности, вопросов охраны труда, ГО и ЧС (от 4 до 2%). Курсы повышения квалификации и профессиональной переподготовки за 2023-2024 учебный год прошли 780 педагогов и представителей административного персонала</w:t>
      </w:r>
    </w:p>
    <w:p w:rsidR="007162A1" w:rsidRPr="006E6A63" w:rsidRDefault="00B30C07" w:rsidP="006E6A63">
      <w:pPr>
        <w:pStyle w:val="Default"/>
        <w:ind w:firstLine="709"/>
        <w:jc w:val="both"/>
        <w:rPr>
          <w:b/>
          <w:color w:val="auto"/>
        </w:rPr>
      </w:pPr>
      <w:r w:rsidRPr="006E6A63">
        <w:t>Общий охват педагогических и административных работников муниципальных общеобразовательных учреждений, прошедших курсы повышения квалификации и переподготовку за 2023-2024 учебный год составил 384 работника (отмечается существенное снижение за три года)</w:t>
      </w:r>
      <w:r w:rsidR="004C7E87" w:rsidRPr="006E6A63">
        <w:t>. Обратите внимание на эту цифру.</w:t>
      </w:r>
    </w:p>
    <w:p w:rsidR="004C7E87" w:rsidRPr="006E6A63" w:rsidRDefault="00B30C07" w:rsidP="006E6A63">
      <w:pPr>
        <w:pStyle w:val="Default"/>
        <w:ind w:firstLine="709"/>
        <w:jc w:val="both"/>
      </w:pPr>
      <w:r w:rsidRPr="006E6A63">
        <w:rPr>
          <w:bCs/>
        </w:rPr>
        <w:t>В целях о</w:t>
      </w:r>
      <w:r w:rsidRPr="006E6A63">
        <w:t>рганизации и проведения адресного повышения квалификации педагогов и в связи с введением 1 сентября 2024 года учебных предметов «Основы безопасности и защиты Родины» и «Труд (технология)» ГАУ ДПО ИРО были реализованы курсы повышения квалификации на базе ФГАОУ ВО «Государственный университет просвещения» по двум программам: особенности преподавания учебного предмета «Основы безопасности и защиты Родины»</w:t>
      </w:r>
      <w:r w:rsidR="004C7E87" w:rsidRPr="006E6A63">
        <w:t xml:space="preserve"> и «Труд (технология)». </w:t>
      </w:r>
    </w:p>
    <w:p w:rsidR="007162A1" w:rsidRPr="006E6A63" w:rsidRDefault="004C7E87" w:rsidP="006E6A63">
      <w:pPr>
        <w:pStyle w:val="Default"/>
        <w:ind w:firstLine="709"/>
        <w:jc w:val="both"/>
        <w:rPr>
          <w:b/>
          <w:color w:val="auto"/>
        </w:rPr>
      </w:pPr>
      <w:r w:rsidRPr="006E6A63">
        <w:t>Обучение по учебному предмету «Основы безопасности и защиты Родины» осуществлялась в два потока периоды с 11.06.2024 по 03.07.2024 года (первый поток) и с 16.07.2024 по 13.08.2024 года (второй поток). Следует отметить, что только 40% слушателей муниципальных общеобразовательных учреждений успешно завершили обучение в первом потоке и 50% слушателей во втором потоке.</w:t>
      </w:r>
      <w:r w:rsidR="00F00383" w:rsidRPr="006E6A63">
        <w:t xml:space="preserve"> доля педагогических работников, повысивших свою квалификацию в рамках реализации приоритетной федеральной программы составила 66,7%. Возникает </w:t>
      </w:r>
      <w:r w:rsidR="00CA7D96" w:rsidRPr="006E6A63">
        <w:t>вопрос,</w:t>
      </w:r>
      <w:r w:rsidR="00F00383" w:rsidRPr="006E6A63">
        <w:t xml:space="preserve"> как и главное кем будет осуществляться обучение детей по данным предметам.</w:t>
      </w:r>
    </w:p>
    <w:p w:rsidR="00287140" w:rsidRPr="006E6A63" w:rsidRDefault="00287140" w:rsidP="006E6A63">
      <w:pPr>
        <w:pStyle w:val="Default"/>
        <w:ind w:firstLine="709"/>
        <w:jc w:val="both"/>
      </w:pPr>
      <w:r w:rsidRPr="006E6A63">
        <w:rPr>
          <w:color w:val="auto"/>
        </w:rPr>
        <w:t xml:space="preserve">В связи с изменениями в подходах организации прохождения курсовой подготовки. И для того, </w:t>
      </w:r>
      <w:r w:rsidRPr="006E6A63">
        <w:t xml:space="preserve">чтобы в полной мере реализовать права педагогов и полноценно использовать средства субвенции, от образовательных учреждений получена информация, содержащая потребность в прохождении программ повышения квалификации на второе полугодие 2024 года. По предварительным данным всего к прохождению ДПП запланировано 640 педагогов. </w:t>
      </w:r>
    </w:p>
    <w:p w:rsidR="00287140" w:rsidRPr="006E6A63" w:rsidRDefault="00287140" w:rsidP="006E6A63">
      <w:pPr>
        <w:pStyle w:val="Default"/>
        <w:ind w:firstLine="709"/>
        <w:jc w:val="both"/>
      </w:pPr>
      <w:r w:rsidRPr="006E6A63">
        <w:t xml:space="preserve">Следует отметить, что несмотря на актуальность вопросов повышения качества образования, учреждениями не было запланировано обучение (кроме МБОУ «СОШ № 15»). </w:t>
      </w:r>
      <w:r w:rsidRPr="006E6A63">
        <w:lastRenderedPageBreak/>
        <w:t>Также невостребованными оказались направления по профилактике суицидального поведения, профилактике ПАВ и экспертной деятельности.</w:t>
      </w:r>
    </w:p>
    <w:p w:rsidR="00287140" w:rsidRPr="006E6A63" w:rsidRDefault="00287140" w:rsidP="006E6A63">
      <w:pPr>
        <w:pStyle w:val="Default"/>
        <w:ind w:firstLine="709"/>
        <w:jc w:val="both"/>
      </w:pPr>
      <w:r w:rsidRPr="006E6A63">
        <w:t>Меры, принятые в рамках реализации приоритетных федеральных программ повышения квалификации педагогических работников в 2023-2024 учебном году можно считать эффективными.</w:t>
      </w:r>
      <w:bookmarkStart w:id="0" w:name="_GoBack"/>
      <w:bookmarkEnd w:id="0"/>
    </w:p>
    <w:sectPr w:rsidR="00287140" w:rsidRPr="006E6A63" w:rsidSect="006E6A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9AA"/>
    <w:multiLevelType w:val="hybridMultilevel"/>
    <w:tmpl w:val="6E900B64"/>
    <w:lvl w:ilvl="0" w:tplc="E2C06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121F19"/>
    <w:multiLevelType w:val="hybridMultilevel"/>
    <w:tmpl w:val="E6362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55166A"/>
    <w:multiLevelType w:val="hybridMultilevel"/>
    <w:tmpl w:val="06E8468C"/>
    <w:lvl w:ilvl="0" w:tplc="C14E5B74">
      <w:start w:val="1"/>
      <w:numFmt w:val="decimal"/>
      <w:lvlText w:val="%1."/>
      <w:lvlJc w:val="left"/>
      <w:pPr>
        <w:tabs>
          <w:tab w:val="num" w:pos="720"/>
        </w:tabs>
        <w:ind w:left="720" w:hanging="360"/>
      </w:pPr>
    </w:lvl>
    <w:lvl w:ilvl="1" w:tplc="D9AC47BC" w:tentative="1">
      <w:start w:val="1"/>
      <w:numFmt w:val="decimal"/>
      <w:lvlText w:val="%2."/>
      <w:lvlJc w:val="left"/>
      <w:pPr>
        <w:tabs>
          <w:tab w:val="num" w:pos="1440"/>
        </w:tabs>
        <w:ind w:left="1440" w:hanging="360"/>
      </w:pPr>
    </w:lvl>
    <w:lvl w:ilvl="2" w:tplc="72D83426" w:tentative="1">
      <w:start w:val="1"/>
      <w:numFmt w:val="decimal"/>
      <w:lvlText w:val="%3."/>
      <w:lvlJc w:val="left"/>
      <w:pPr>
        <w:tabs>
          <w:tab w:val="num" w:pos="2160"/>
        </w:tabs>
        <w:ind w:left="2160" w:hanging="360"/>
      </w:pPr>
    </w:lvl>
    <w:lvl w:ilvl="3" w:tplc="1B527B0A" w:tentative="1">
      <w:start w:val="1"/>
      <w:numFmt w:val="decimal"/>
      <w:lvlText w:val="%4."/>
      <w:lvlJc w:val="left"/>
      <w:pPr>
        <w:tabs>
          <w:tab w:val="num" w:pos="2880"/>
        </w:tabs>
        <w:ind w:left="2880" w:hanging="360"/>
      </w:pPr>
    </w:lvl>
    <w:lvl w:ilvl="4" w:tplc="94DA097A" w:tentative="1">
      <w:start w:val="1"/>
      <w:numFmt w:val="decimal"/>
      <w:lvlText w:val="%5."/>
      <w:lvlJc w:val="left"/>
      <w:pPr>
        <w:tabs>
          <w:tab w:val="num" w:pos="3600"/>
        </w:tabs>
        <w:ind w:left="3600" w:hanging="360"/>
      </w:pPr>
    </w:lvl>
    <w:lvl w:ilvl="5" w:tplc="E640CFAC" w:tentative="1">
      <w:start w:val="1"/>
      <w:numFmt w:val="decimal"/>
      <w:lvlText w:val="%6."/>
      <w:lvlJc w:val="left"/>
      <w:pPr>
        <w:tabs>
          <w:tab w:val="num" w:pos="4320"/>
        </w:tabs>
        <w:ind w:left="4320" w:hanging="360"/>
      </w:pPr>
    </w:lvl>
    <w:lvl w:ilvl="6" w:tplc="B686BDC8" w:tentative="1">
      <w:start w:val="1"/>
      <w:numFmt w:val="decimal"/>
      <w:lvlText w:val="%7."/>
      <w:lvlJc w:val="left"/>
      <w:pPr>
        <w:tabs>
          <w:tab w:val="num" w:pos="5040"/>
        </w:tabs>
        <w:ind w:left="5040" w:hanging="360"/>
      </w:pPr>
    </w:lvl>
    <w:lvl w:ilvl="7" w:tplc="3C38BE94" w:tentative="1">
      <w:start w:val="1"/>
      <w:numFmt w:val="decimal"/>
      <w:lvlText w:val="%8."/>
      <w:lvlJc w:val="left"/>
      <w:pPr>
        <w:tabs>
          <w:tab w:val="num" w:pos="5760"/>
        </w:tabs>
        <w:ind w:left="5760" w:hanging="360"/>
      </w:pPr>
    </w:lvl>
    <w:lvl w:ilvl="8" w:tplc="A7BA3EB8" w:tentative="1">
      <w:start w:val="1"/>
      <w:numFmt w:val="decimal"/>
      <w:lvlText w:val="%9."/>
      <w:lvlJc w:val="left"/>
      <w:pPr>
        <w:tabs>
          <w:tab w:val="num" w:pos="6480"/>
        </w:tabs>
        <w:ind w:left="6480" w:hanging="360"/>
      </w:pPr>
    </w:lvl>
  </w:abstractNum>
  <w:abstractNum w:abstractNumId="3" w15:restartNumberingAfterBreak="0">
    <w:nsid w:val="5B033DA2"/>
    <w:multiLevelType w:val="hybridMultilevel"/>
    <w:tmpl w:val="49E08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B3"/>
    <w:rsid w:val="00013C0B"/>
    <w:rsid w:val="00051427"/>
    <w:rsid w:val="0005632C"/>
    <w:rsid w:val="00056BD2"/>
    <w:rsid w:val="0006044E"/>
    <w:rsid w:val="0008681F"/>
    <w:rsid w:val="0009308D"/>
    <w:rsid w:val="000D7072"/>
    <w:rsid w:val="000E68A4"/>
    <w:rsid w:val="001047F9"/>
    <w:rsid w:val="001357B3"/>
    <w:rsid w:val="001466DF"/>
    <w:rsid w:val="0015292E"/>
    <w:rsid w:val="001568A0"/>
    <w:rsid w:val="00160CF0"/>
    <w:rsid w:val="00171353"/>
    <w:rsid w:val="001775BE"/>
    <w:rsid w:val="001850F0"/>
    <w:rsid w:val="00191F32"/>
    <w:rsid w:val="001A3176"/>
    <w:rsid w:val="001D43B4"/>
    <w:rsid w:val="001E2D6C"/>
    <w:rsid w:val="001E77CF"/>
    <w:rsid w:val="001F0CB6"/>
    <w:rsid w:val="00204ABB"/>
    <w:rsid w:val="00235A16"/>
    <w:rsid w:val="00273182"/>
    <w:rsid w:val="00287140"/>
    <w:rsid w:val="002902FB"/>
    <w:rsid w:val="002E2E53"/>
    <w:rsid w:val="003049BD"/>
    <w:rsid w:val="00305635"/>
    <w:rsid w:val="00324A1E"/>
    <w:rsid w:val="00332EC5"/>
    <w:rsid w:val="003B108F"/>
    <w:rsid w:val="003D702F"/>
    <w:rsid w:val="003F0982"/>
    <w:rsid w:val="00416C79"/>
    <w:rsid w:val="00423373"/>
    <w:rsid w:val="00460DA0"/>
    <w:rsid w:val="004779D8"/>
    <w:rsid w:val="004960A4"/>
    <w:rsid w:val="004A6B71"/>
    <w:rsid w:val="004C7E87"/>
    <w:rsid w:val="00504266"/>
    <w:rsid w:val="0053502E"/>
    <w:rsid w:val="00537173"/>
    <w:rsid w:val="00537276"/>
    <w:rsid w:val="0055045A"/>
    <w:rsid w:val="0059163E"/>
    <w:rsid w:val="005A4F83"/>
    <w:rsid w:val="00637226"/>
    <w:rsid w:val="00665457"/>
    <w:rsid w:val="00674442"/>
    <w:rsid w:val="00693C32"/>
    <w:rsid w:val="006A0407"/>
    <w:rsid w:val="006E6A63"/>
    <w:rsid w:val="006F328C"/>
    <w:rsid w:val="00700855"/>
    <w:rsid w:val="007136E5"/>
    <w:rsid w:val="007162A1"/>
    <w:rsid w:val="007466EC"/>
    <w:rsid w:val="0075028E"/>
    <w:rsid w:val="00770166"/>
    <w:rsid w:val="007A2EDB"/>
    <w:rsid w:val="007A4507"/>
    <w:rsid w:val="007B5A57"/>
    <w:rsid w:val="007C14F2"/>
    <w:rsid w:val="007C7692"/>
    <w:rsid w:val="00826EAF"/>
    <w:rsid w:val="00867B10"/>
    <w:rsid w:val="00873F9E"/>
    <w:rsid w:val="0087726B"/>
    <w:rsid w:val="008A0F97"/>
    <w:rsid w:val="008A6465"/>
    <w:rsid w:val="008E2E99"/>
    <w:rsid w:val="008F365D"/>
    <w:rsid w:val="008F46AD"/>
    <w:rsid w:val="00937F94"/>
    <w:rsid w:val="00956BB1"/>
    <w:rsid w:val="009B2FE8"/>
    <w:rsid w:val="009B5D82"/>
    <w:rsid w:val="00A20BC7"/>
    <w:rsid w:val="00A23D1C"/>
    <w:rsid w:val="00A24DD5"/>
    <w:rsid w:val="00A3359C"/>
    <w:rsid w:val="00A628C8"/>
    <w:rsid w:val="00A63FCB"/>
    <w:rsid w:val="00A65EBA"/>
    <w:rsid w:val="00A830C1"/>
    <w:rsid w:val="00AB23B8"/>
    <w:rsid w:val="00AB4FB3"/>
    <w:rsid w:val="00AD3B8D"/>
    <w:rsid w:val="00B0230D"/>
    <w:rsid w:val="00B21CE6"/>
    <w:rsid w:val="00B21EF8"/>
    <w:rsid w:val="00B30C07"/>
    <w:rsid w:val="00B430C5"/>
    <w:rsid w:val="00B62499"/>
    <w:rsid w:val="00B67125"/>
    <w:rsid w:val="00B91E77"/>
    <w:rsid w:val="00BB025A"/>
    <w:rsid w:val="00BB483E"/>
    <w:rsid w:val="00BC5A60"/>
    <w:rsid w:val="00BD3853"/>
    <w:rsid w:val="00BD6D9E"/>
    <w:rsid w:val="00BF0CCC"/>
    <w:rsid w:val="00BF1740"/>
    <w:rsid w:val="00BF6843"/>
    <w:rsid w:val="00C64113"/>
    <w:rsid w:val="00C73222"/>
    <w:rsid w:val="00CA582A"/>
    <w:rsid w:val="00CA7CB7"/>
    <w:rsid w:val="00CA7D96"/>
    <w:rsid w:val="00CC15D0"/>
    <w:rsid w:val="00CD6CE0"/>
    <w:rsid w:val="00D03C9E"/>
    <w:rsid w:val="00D1345B"/>
    <w:rsid w:val="00D24C99"/>
    <w:rsid w:val="00D34928"/>
    <w:rsid w:val="00D44B7C"/>
    <w:rsid w:val="00D45CCB"/>
    <w:rsid w:val="00D54580"/>
    <w:rsid w:val="00D61083"/>
    <w:rsid w:val="00D879F6"/>
    <w:rsid w:val="00D94C37"/>
    <w:rsid w:val="00DD5AB9"/>
    <w:rsid w:val="00DE35B2"/>
    <w:rsid w:val="00E206AF"/>
    <w:rsid w:val="00E3205B"/>
    <w:rsid w:val="00E43BDA"/>
    <w:rsid w:val="00E47CE2"/>
    <w:rsid w:val="00E909D1"/>
    <w:rsid w:val="00F00383"/>
    <w:rsid w:val="00F318E0"/>
    <w:rsid w:val="00F34C09"/>
    <w:rsid w:val="00F446D2"/>
    <w:rsid w:val="00F4714E"/>
    <w:rsid w:val="00F81801"/>
    <w:rsid w:val="00FA05B8"/>
    <w:rsid w:val="00FB2394"/>
    <w:rsid w:val="00FB5C73"/>
    <w:rsid w:val="00FE526C"/>
    <w:rsid w:val="00FF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EE6A"/>
  <w15:chartTrackingRefBased/>
  <w15:docId w15:val="{CF4DB257-3691-4F83-ADCD-916E6162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7072"/>
    <w:pPr>
      <w:autoSpaceDE w:val="0"/>
      <w:autoSpaceDN w:val="0"/>
      <w:adjustRightInd w:val="0"/>
      <w:spacing w:line="240" w:lineRule="auto"/>
      <w:ind w:firstLine="0"/>
      <w:jc w:val="left"/>
    </w:pPr>
    <w:rPr>
      <w:color w:val="000000"/>
    </w:rPr>
  </w:style>
  <w:style w:type="paragraph" w:styleId="a3">
    <w:name w:val="Balloon Text"/>
    <w:basedOn w:val="a"/>
    <w:link w:val="a4"/>
    <w:uiPriority w:val="99"/>
    <w:semiHidden/>
    <w:unhideWhenUsed/>
    <w:rsid w:val="007C14F2"/>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14F2"/>
    <w:rPr>
      <w:rFonts w:ascii="Segoe UI" w:hAnsi="Segoe UI" w:cs="Segoe UI"/>
      <w:sz w:val="18"/>
      <w:szCs w:val="18"/>
    </w:rPr>
  </w:style>
  <w:style w:type="table" w:styleId="a5">
    <w:name w:val="Table Grid"/>
    <w:basedOn w:val="a1"/>
    <w:uiPriority w:val="39"/>
    <w:rsid w:val="00B67125"/>
    <w:pPr>
      <w:spacing w:line="240" w:lineRule="auto"/>
      <w:ind w:firstLine="0"/>
      <w:jc w:val="left"/>
    </w:pPr>
    <w:rPr>
      <w:rFonts w:ascii="Calibri" w:eastAsia="Times New Roman"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7"/>
    <w:uiPriority w:val="99"/>
    <w:unhideWhenUsed/>
    <w:qFormat/>
    <w:rsid w:val="00305635"/>
    <w:pPr>
      <w:spacing w:before="100" w:beforeAutospacing="1" w:after="100" w:afterAutospacing="1" w:line="240" w:lineRule="auto"/>
      <w:ind w:firstLine="0"/>
      <w:jc w:val="left"/>
    </w:pPr>
    <w:rPr>
      <w:rFonts w:eastAsia="Times New Roman"/>
      <w:lang w:eastAsia="ru-RU"/>
    </w:rPr>
  </w:style>
  <w:style w:type="character" w:customStyle="1" w:styleId="a7">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6"/>
    <w:uiPriority w:val="99"/>
    <w:locked/>
    <w:rsid w:val="00305635"/>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63598">
      <w:bodyDiv w:val="1"/>
      <w:marLeft w:val="0"/>
      <w:marRight w:val="0"/>
      <w:marTop w:val="0"/>
      <w:marBottom w:val="0"/>
      <w:divBdr>
        <w:top w:val="none" w:sz="0" w:space="0" w:color="auto"/>
        <w:left w:val="none" w:sz="0" w:space="0" w:color="auto"/>
        <w:bottom w:val="none" w:sz="0" w:space="0" w:color="auto"/>
        <w:right w:val="none" w:sz="0" w:space="0" w:color="auto"/>
      </w:divBdr>
      <w:divsChild>
        <w:div w:id="1618412615">
          <w:marLeft w:val="547"/>
          <w:marRight w:val="0"/>
          <w:marTop w:val="0"/>
          <w:marBottom w:val="0"/>
          <w:divBdr>
            <w:top w:val="none" w:sz="0" w:space="0" w:color="auto"/>
            <w:left w:val="none" w:sz="0" w:space="0" w:color="auto"/>
            <w:bottom w:val="none" w:sz="0" w:space="0" w:color="auto"/>
            <w:right w:val="none" w:sz="0" w:space="0" w:color="auto"/>
          </w:divBdr>
        </w:div>
        <w:div w:id="1742681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5</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Кадочникова</dc:creator>
  <cp:keywords/>
  <dc:description/>
  <cp:lastModifiedBy>Admin</cp:lastModifiedBy>
  <cp:revision>87</cp:revision>
  <cp:lastPrinted>2023-05-10T03:56:00Z</cp:lastPrinted>
  <dcterms:created xsi:type="dcterms:W3CDTF">2023-05-06T06:16:00Z</dcterms:created>
  <dcterms:modified xsi:type="dcterms:W3CDTF">2024-08-27T06:16:00Z</dcterms:modified>
</cp:coreProperties>
</file>