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6" w:rsidRPr="0008643A" w:rsidRDefault="00865216" w:rsidP="00865216">
      <w:pPr>
        <w:jc w:val="center"/>
        <w:rPr>
          <w:b/>
        </w:rPr>
      </w:pPr>
      <w:r w:rsidRPr="0008643A">
        <w:rPr>
          <w:b/>
        </w:rPr>
        <w:t>Список приоритетных направлений и тем индивидуальных проектов</w:t>
      </w:r>
    </w:p>
    <w:p w:rsidR="00865216" w:rsidRPr="00DD7169" w:rsidRDefault="00865216" w:rsidP="00865216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87"/>
        <w:gridCol w:w="6520"/>
      </w:tblGrid>
      <w:tr w:rsidR="00865216" w:rsidRPr="00DD7169" w:rsidTr="003E0399">
        <w:tc>
          <w:tcPr>
            <w:tcW w:w="540" w:type="dxa"/>
          </w:tcPr>
          <w:p w:rsidR="00865216" w:rsidRPr="00DD7169" w:rsidRDefault="00865216" w:rsidP="003E0399">
            <w:pPr>
              <w:jc w:val="center"/>
            </w:pPr>
            <w:r w:rsidRPr="00DD7169">
              <w:t>№ п/п</w:t>
            </w:r>
          </w:p>
        </w:tc>
        <w:tc>
          <w:tcPr>
            <w:tcW w:w="2687" w:type="dxa"/>
            <w:shd w:val="clear" w:color="auto" w:fill="auto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Направление </w:t>
            </w:r>
          </w:p>
          <w:p w:rsidR="00865216" w:rsidRPr="00DD7169" w:rsidRDefault="00865216" w:rsidP="003E0399">
            <w:pPr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pPr>
              <w:jc w:val="center"/>
            </w:pPr>
            <w:r w:rsidRPr="00DD7169">
              <w:t>Тематика индивидуальных проектов</w:t>
            </w:r>
          </w:p>
        </w:tc>
      </w:tr>
      <w:tr w:rsidR="00865216" w:rsidRPr="00DD7169" w:rsidTr="003E0399">
        <w:tc>
          <w:tcPr>
            <w:tcW w:w="540" w:type="dxa"/>
          </w:tcPr>
          <w:p w:rsidR="00865216" w:rsidRPr="00DD7169" w:rsidRDefault="00865216" w:rsidP="003E0399">
            <w:pPr>
              <w:jc w:val="center"/>
            </w:pPr>
            <w:r w:rsidRPr="00DD7169"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3</w:t>
            </w:r>
          </w:p>
        </w:tc>
      </w:tr>
      <w:tr w:rsidR="00865216" w:rsidRPr="00DD7169" w:rsidTr="003E0399">
        <w:tc>
          <w:tcPr>
            <w:tcW w:w="540" w:type="dxa"/>
            <w:vMerge w:val="restart"/>
          </w:tcPr>
          <w:p w:rsidR="00865216" w:rsidRPr="00DD7169" w:rsidRDefault="00865216" w:rsidP="003E0399">
            <w:pPr>
              <w:jc w:val="center"/>
            </w:pPr>
            <w:r w:rsidRPr="00DD7169">
              <w:t>1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65216" w:rsidRPr="00DD7169" w:rsidRDefault="00865216" w:rsidP="003E0399">
            <w:r w:rsidRPr="00DD7169">
              <w:t xml:space="preserve">Естественно-научное направление </w:t>
            </w:r>
          </w:p>
          <w:p w:rsidR="00865216" w:rsidRPr="00DD7169" w:rsidRDefault="00865216" w:rsidP="003E0399">
            <w:r w:rsidRPr="00DD7169">
              <w:t xml:space="preserve">(физика, химия, биология, экология) </w:t>
            </w:r>
          </w:p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Основы современных технологий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Химия и химические технологии. </w:t>
            </w:r>
          </w:p>
          <w:p w:rsidR="00865216" w:rsidRPr="00DD7169" w:rsidRDefault="00865216" w:rsidP="003E0399">
            <w:r w:rsidRPr="00DD7169">
              <w:t xml:space="preserve">Современные технологии целлюлозно-бумажной промышленности. 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Проблемы загрязнения окружающей среды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Энергосбережение 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Экология и науки о растениях, лесоразведение и </w:t>
            </w:r>
            <w:proofErr w:type="spellStart"/>
            <w:r w:rsidRPr="00DD7169">
              <w:t>лесовосстановление</w:t>
            </w:r>
            <w:proofErr w:type="spellEnd"/>
            <w:r w:rsidRPr="00DD7169">
              <w:t xml:space="preserve">. Сертификация леса. 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Биология и биотехнологии</w:t>
            </w:r>
          </w:p>
        </w:tc>
      </w:tr>
      <w:tr w:rsidR="00865216" w:rsidRPr="00DD7169" w:rsidTr="003E0399">
        <w:tc>
          <w:tcPr>
            <w:tcW w:w="540" w:type="dxa"/>
            <w:vMerge w:val="restart"/>
          </w:tcPr>
          <w:p w:rsidR="00865216" w:rsidRPr="00DD7169" w:rsidRDefault="00865216" w:rsidP="003E0399">
            <w:pPr>
              <w:jc w:val="center"/>
            </w:pPr>
            <w:r w:rsidRPr="00DD7169">
              <w:t>2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65216" w:rsidRPr="00DD7169" w:rsidRDefault="00865216" w:rsidP="003E0399">
            <w:r w:rsidRPr="00DD7169">
              <w:t>Инженерные науки</w:t>
            </w:r>
          </w:p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Компьютерные технологии в автоматизации и робототехнике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Прикладная механика и машины будущего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Интеллектуальные компьютерные системы</w:t>
            </w:r>
          </w:p>
        </w:tc>
      </w:tr>
      <w:tr w:rsidR="00865216" w:rsidRPr="00DD7169" w:rsidTr="003E0399">
        <w:tc>
          <w:tcPr>
            <w:tcW w:w="540" w:type="dxa"/>
            <w:vMerge w:val="restart"/>
          </w:tcPr>
          <w:p w:rsidR="00865216" w:rsidRPr="00DD7169" w:rsidRDefault="00865216" w:rsidP="003E0399">
            <w:pPr>
              <w:jc w:val="center"/>
            </w:pPr>
            <w:r w:rsidRPr="00DD7169">
              <w:t>3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65216" w:rsidRPr="00DD7169" w:rsidRDefault="00865216" w:rsidP="003E0399">
            <w:r w:rsidRPr="00DD7169">
              <w:t>Информационные технологии</w:t>
            </w:r>
          </w:p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Цифровые технологии в образовании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Цифровые технологии в производстве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Информатика, вычислительная техника, телекоммуникации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Умные машины, робототехника</w:t>
            </w:r>
          </w:p>
        </w:tc>
      </w:tr>
      <w:tr w:rsidR="00865216" w:rsidRPr="00DD7169" w:rsidTr="003E0399">
        <w:tc>
          <w:tcPr>
            <w:tcW w:w="540" w:type="dxa"/>
            <w:vMerge w:val="restart"/>
          </w:tcPr>
          <w:p w:rsidR="00865216" w:rsidRPr="00DD7169" w:rsidRDefault="00865216" w:rsidP="003E0399">
            <w:pPr>
              <w:jc w:val="center"/>
            </w:pPr>
            <w:r w:rsidRPr="00DD7169">
              <w:t>4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65216" w:rsidRPr="00DD7169" w:rsidRDefault="00865216" w:rsidP="003E0399">
            <w:r w:rsidRPr="00DD7169">
              <w:t>Исследования в области социальных и гуманитарных наук. Социально-образовательные проекты</w:t>
            </w:r>
          </w:p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 История города Усть-Илимска, Усть-Илимского района, АО «Группа «Илим». 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Экономика и предпринимательство. 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Развитие социальной инфраструктуры города Усть-Илимска и Усть-Илимского района.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Профориентация и профессиональное самоопределение детей и молодежи. </w:t>
            </w:r>
          </w:p>
          <w:p w:rsidR="00865216" w:rsidRPr="00DD7169" w:rsidRDefault="00865216" w:rsidP="003E0399">
            <w:r w:rsidRPr="00DD7169">
              <w:t xml:space="preserve">Кадровый потенциал города Усть-Илимска (Усть-Илимского района). </w:t>
            </w:r>
          </w:p>
          <w:p w:rsidR="00865216" w:rsidRPr="00DD7169" w:rsidRDefault="00865216" w:rsidP="003E0399">
            <w:r w:rsidRPr="00DD7169">
              <w:t xml:space="preserve">Развитие карьеры </w:t>
            </w:r>
            <w:proofErr w:type="gramStart"/>
            <w:r w:rsidRPr="00DD7169">
              <w:t>молодежи :</w:t>
            </w:r>
            <w:proofErr w:type="gramEnd"/>
            <w:r w:rsidRPr="00DD7169">
              <w:t xml:space="preserve"> проблемы и перспективы.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Экологическое воспитание и образование 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Биология и биотехнологии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Экономика и предпринимательство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Экологическое воспитание и образование</w:t>
            </w:r>
          </w:p>
        </w:tc>
      </w:tr>
      <w:tr w:rsidR="00865216" w:rsidRPr="00DD7169" w:rsidTr="003E0399">
        <w:tc>
          <w:tcPr>
            <w:tcW w:w="540" w:type="dxa"/>
            <w:vMerge/>
          </w:tcPr>
          <w:p w:rsidR="00865216" w:rsidRPr="00DD7169" w:rsidRDefault="00865216" w:rsidP="003E0399"/>
        </w:tc>
        <w:tc>
          <w:tcPr>
            <w:tcW w:w="2687" w:type="dxa"/>
            <w:vMerge/>
            <w:shd w:val="clear" w:color="auto" w:fill="auto"/>
          </w:tcPr>
          <w:p w:rsidR="00865216" w:rsidRPr="00DD7169" w:rsidRDefault="00865216" w:rsidP="003E0399"/>
        </w:tc>
        <w:tc>
          <w:tcPr>
            <w:tcW w:w="6520" w:type="dxa"/>
            <w:shd w:val="clear" w:color="auto" w:fill="auto"/>
          </w:tcPr>
          <w:p w:rsidR="00865216" w:rsidRPr="00DD7169" w:rsidRDefault="00865216" w:rsidP="003E0399">
            <w:r w:rsidRPr="00DD7169">
              <w:t>Прикладное искусство и дизайн</w:t>
            </w:r>
          </w:p>
        </w:tc>
      </w:tr>
    </w:tbl>
    <w:p w:rsidR="00865216" w:rsidRPr="00DD7169" w:rsidRDefault="00865216" w:rsidP="00865216">
      <w:pPr>
        <w:ind w:left="5387"/>
        <w:jc w:val="both"/>
      </w:pPr>
    </w:p>
    <w:p w:rsidR="00865216" w:rsidRPr="0008643A" w:rsidRDefault="00865216" w:rsidP="00865216">
      <w:pPr>
        <w:ind w:left="5387"/>
        <w:jc w:val="both"/>
        <w:rPr>
          <w:b/>
        </w:rPr>
      </w:pPr>
      <w:bookmarkStart w:id="0" w:name="_GoBack"/>
      <w:bookmarkEnd w:id="0"/>
    </w:p>
    <w:p w:rsidR="00865216" w:rsidRPr="0008643A" w:rsidRDefault="00865216" w:rsidP="00865216">
      <w:pPr>
        <w:jc w:val="center"/>
        <w:rPr>
          <w:b/>
        </w:rPr>
      </w:pPr>
      <w:r w:rsidRPr="0008643A">
        <w:rPr>
          <w:b/>
        </w:rPr>
        <w:t>Перечень критериев оценки индивидуального проекта участника Конкурса</w:t>
      </w:r>
    </w:p>
    <w:p w:rsidR="00865216" w:rsidRPr="00DD7169" w:rsidRDefault="00865216" w:rsidP="00865216">
      <w:pPr>
        <w:jc w:val="center"/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70"/>
        <w:gridCol w:w="1972"/>
        <w:gridCol w:w="1845"/>
        <w:gridCol w:w="1845"/>
      </w:tblGrid>
      <w:tr w:rsidR="00865216" w:rsidRPr="00DD7169" w:rsidTr="003E0399">
        <w:tc>
          <w:tcPr>
            <w:tcW w:w="456" w:type="dxa"/>
            <w:tcMar>
              <w:left w:w="57" w:type="dxa"/>
              <w:right w:w="57" w:type="dxa"/>
            </w:tcMar>
          </w:tcPr>
          <w:p w:rsidR="00865216" w:rsidRPr="00DD7169" w:rsidRDefault="00865216" w:rsidP="003E0399">
            <w:pPr>
              <w:jc w:val="center"/>
            </w:pPr>
            <w:r w:rsidRPr="00DD7169">
              <w:t>№ п/п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Критерии</w:t>
            </w:r>
          </w:p>
          <w:p w:rsidR="00865216" w:rsidRPr="00DD7169" w:rsidRDefault="00865216" w:rsidP="003E0399">
            <w:pPr>
              <w:jc w:val="center"/>
            </w:pPr>
            <w:r w:rsidRPr="00DD7169">
              <w:t>оценки проекта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Количество баллов</w:t>
            </w:r>
          </w:p>
        </w:tc>
      </w:tr>
      <w:tr w:rsidR="00865216" w:rsidRPr="00DD7169" w:rsidTr="003E0399">
        <w:tc>
          <w:tcPr>
            <w:tcW w:w="456" w:type="dxa"/>
            <w:tcMar>
              <w:left w:w="57" w:type="dxa"/>
              <w:right w:w="57" w:type="dxa"/>
            </w:tcMar>
          </w:tcPr>
          <w:p w:rsidR="00865216" w:rsidRPr="00DD7169" w:rsidRDefault="00865216" w:rsidP="003E0399">
            <w:pPr>
              <w:jc w:val="center"/>
            </w:pPr>
            <w:r w:rsidRPr="00DD7169"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3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1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Проект соответствует списку приоритетных направлений и тем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соответствует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-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5 – соответствует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2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>Соответствие темы проекта заявленному типу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0 – не соответствует 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-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3 – соответствует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lastRenderedPageBreak/>
              <w:t>3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>Аргументированное обоснование выбора темы, актуальность темы раскрыта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обосновано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обосновано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4 – полностью обосновано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4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Проблема, на решение которой направлен проект, сформулирована аргументировано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обосновано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обосновано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4 – полностью обосновано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5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Цель проекта сформулирована непротиворечиво, соответствует теме проекта и решаемой проблеме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соответствует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соответствует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4 – полностью соответствует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6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Задачи и их последовательность сформулированы непротиворечиво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сформулировано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сформулировано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4 – полностью сформулировано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7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Методы соответствуют задачам проекта, содержание методов раскрыто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соответствуют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соответствуют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4 – полностью соответствуют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8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Результаты проекта не противоречат теме и цели проекта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противоречат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противоречат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4 – не противоречат 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9</w:t>
            </w:r>
          </w:p>
        </w:tc>
        <w:tc>
          <w:tcPr>
            <w:tcW w:w="3570" w:type="dxa"/>
            <w:shd w:val="clear" w:color="auto" w:fill="auto"/>
          </w:tcPr>
          <w:p w:rsidR="00865216" w:rsidRPr="00DD7169" w:rsidRDefault="00865216" w:rsidP="003E0399">
            <w:r w:rsidRPr="00DD7169">
              <w:t xml:space="preserve">Практическая значимость результатов проекта обоснована </w:t>
            </w:r>
          </w:p>
        </w:tc>
        <w:tc>
          <w:tcPr>
            <w:tcW w:w="1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обоснована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обоснована</w:t>
            </w:r>
          </w:p>
        </w:tc>
        <w:tc>
          <w:tcPr>
            <w:tcW w:w="1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5 – полностью обоснована</w:t>
            </w:r>
          </w:p>
        </w:tc>
      </w:tr>
      <w:tr w:rsidR="00865216" w:rsidRPr="00DD7169" w:rsidTr="003E0399">
        <w:tc>
          <w:tcPr>
            <w:tcW w:w="456" w:type="dxa"/>
          </w:tcPr>
          <w:p w:rsidR="00865216" w:rsidRPr="00DD7169" w:rsidRDefault="00865216" w:rsidP="003E0399">
            <w:pPr>
              <w:jc w:val="center"/>
            </w:pPr>
            <w:r w:rsidRPr="00DD7169">
              <w:t>10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:rsidR="00865216" w:rsidRPr="00DD7169" w:rsidRDefault="00865216" w:rsidP="003E0399">
            <w:r w:rsidRPr="00DD7169">
              <w:t xml:space="preserve">Рефлексия деятельности над проектом раскрывает уровень </w:t>
            </w:r>
            <w:proofErr w:type="spellStart"/>
            <w:r w:rsidRPr="00DD7169">
              <w:t>сформированности</w:t>
            </w:r>
            <w:proofErr w:type="spellEnd"/>
            <w:r w:rsidRPr="00DD7169">
              <w:t xml:space="preserve"> навыков проектной деятельности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 xml:space="preserve">0 – рефлексия отсутствует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средний уровень рефлексии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4 – высокий уровень рефлексии</w:t>
            </w:r>
          </w:p>
        </w:tc>
      </w:tr>
      <w:tr w:rsidR="00865216" w:rsidRPr="00DD7169" w:rsidTr="003E0399">
        <w:tc>
          <w:tcPr>
            <w:tcW w:w="456" w:type="dxa"/>
            <w:tcBorders>
              <w:right w:val="single" w:sz="4" w:space="0" w:color="auto"/>
            </w:tcBorders>
          </w:tcPr>
          <w:p w:rsidR="00865216" w:rsidRPr="00DD7169" w:rsidRDefault="00865216" w:rsidP="003E0399">
            <w:pPr>
              <w:jc w:val="center"/>
            </w:pPr>
            <w:r w:rsidRPr="00DD7169"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16" w:rsidRPr="00DD7169" w:rsidRDefault="00865216" w:rsidP="003E0399">
            <w:r w:rsidRPr="00DD7169">
              <w:t xml:space="preserve">Степень реализации проекта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1 – не реализован, только план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3 – реализован частично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5 – реализован полностью</w:t>
            </w:r>
          </w:p>
        </w:tc>
      </w:tr>
      <w:tr w:rsidR="00865216" w:rsidRPr="00DD7169" w:rsidTr="003E0399">
        <w:tc>
          <w:tcPr>
            <w:tcW w:w="456" w:type="dxa"/>
            <w:tcBorders>
              <w:right w:val="single" w:sz="4" w:space="0" w:color="auto"/>
            </w:tcBorders>
          </w:tcPr>
          <w:p w:rsidR="00865216" w:rsidRPr="00DD7169" w:rsidRDefault="00865216" w:rsidP="003E0399">
            <w:pPr>
              <w:jc w:val="center"/>
            </w:pPr>
            <w:r w:rsidRPr="00DD7169"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16" w:rsidRPr="00DD7169" w:rsidRDefault="00865216" w:rsidP="003E0399">
            <w:r w:rsidRPr="00DD7169">
              <w:t>Соответствие оформление текста доклада требованиям п. 19 Положения о Конкурсе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0 – не соответствует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2 – частично соответствует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5216" w:rsidRPr="00DD7169" w:rsidRDefault="00865216" w:rsidP="003E0399">
            <w:pPr>
              <w:jc w:val="center"/>
            </w:pPr>
            <w:r w:rsidRPr="00DD7169">
              <w:t>4 – полностью соответствует</w:t>
            </w:r>
          </w:p>
        </w:tc>
      </w:tr>
    </w:tbl>
    <w:p w:rsidR="00865216" w:rsidRPr="00DD7169" w:rsidRDefault="00865216" w:rsidP="00865216">
      <w:pPr>
        <w:ind w:firstLine="426"/>
        <w:jc w:val="both"/>
      </w:pPr>
      <w:r w:rsidRPr="00DD7169">
        <w:t xml:space="preserve">Максимальное количество баллов - 50. </w:t>
      </w:r>
    </w:p>
    <w:p w:rsidR="00865216" w:rsidRPr="00DD7169" w:rsidRDefault="00865216" w:rsidP="00865216">
      <w:pPr>
        <w:jc w:val="center"/>
      </w:pPr>
    </w:p>
    <w:p w:rsidR="00E0403E" w:rsidRDefault="00E0403E"/>
    <w:sectPr w:rsidR="00E0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16"/>
    <w:rsid w:val="00865216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C0626-581C-454D-9D15-E89A281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2023-11-17T12:18:00Z</dcterms:created>
  <dcterms:modified xsi:type="dcterms:W3CDTF">2023-11-17T12:19:00Z</dcterms:modified>
</cp:coreProperties>
</file>