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30F8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30F81" w:rsidRDefault="0067292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F8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30F81" w:rsidRDefault="00672929">
            <w:pPr>
              <w:pStyle w:val="ConsPlusTitlePage0"/>
              <w:jc w:val="center"/>
            </w:pPr>
            <w:r>
              <w:rPr>
                <w:sz w:val="48"/>
              </w:rPr>
              <w:t>&lt;Письмо&gt; Минпросвещения России от 23.06.2025 N ОК-1835/08</w:t>
            </w:r>
            <w:r>
              <w:rPr>
                <w:sz w:val="48"/>
              </w:rPr>
              <w:br/>
              <w:t>"О примерных штатных нормативах"</w:t>
            </w:r>
            <w:r>
              <w:rPr>
                <w:sz w:val="48"/>
              </w:rPr>
              <w:br/>
              <w:t>(вместе с "Общими положениями", "Примерными штатными нормативами численности работников общеобразовательных организаций")</w:t>
            </w:r>
          </w:p>
        </w:tc>
      </w:tr>
      <w:tr w:rsidR="00430F8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30F81" w:rsidRDefault="0067292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430F81" w:rsidRDefault="00430F81">
      <w:pPr>
        <w:pStyle w:val="ConsPlusNormal0"/>
        <w:sectPr w:rsidR="00430F8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30F81" w:rsidRDefault="00430F81">
      <w:pPr>
        <w:pStyle w:val="ConsPlusNormal0"/>
        <w:jc w:val="both"/>
        <w:outlineLvl w:val="0"/>
      </w:pPr>
    </w:p>
    <w:p w:rsidR="00430F81" w:rsidRDefault="00672929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430F81" w:rsidRDefault="00430F81">
      <w:pPr>
        <w:pStyle w:val="ConsPlusTitle0"/>
        <w:jc w:val="center"/>
      </w:pPr>
    </w:p>
    <w:p w:rsidR="00430F81" w:rsidRDefault="00672929">
      <w:pPr>
        <w:pStyle w:val="ConsPlusTitle0"/>
        <w:jc w:val="center"/>
      </w:pPr>
      <w:r>
        <w:t>ПИСЬМО</w:t>
      </w:r>
    </w:p>
    <w:p w:rsidR="00430F81" w:rsidRDefault="00672929">
      <w:pPr>
        <w:pStyle w:val="ConsPlusTitle0"/>
        <w:jc w:val="center"/>
      </w:pPr>
      <w:r>
        <w:t>от 23 июня 2025 г. N ОК-1835/08</w:t>
      </w:r>
    </w:p>
    <w:p w:rsidR="00430F81" w:rsidRDefault="00430F81">
      <w:pPr>
        <w:pStyle w:val="ConsPlusTitle0"/>
        <w:jc w:val="center"/>
      </w:pPr>
    </w:p>
    <w:p w:rsidR="00430F81" w:rsidRDefault="00672929">
      <w:pPr>
        <w:pStyle w:val="ConsPlusTitle0"/>
        <w:jc w:val="center"/>
      </w:pPr>
      <w:r>
        <w:t>О ПРИМЕРНЫХ ШТАТНЫХ НОРМАТИВАХ</w:t>
      </w:r>
    </w:p>
    <w:p w:rsidR="00430F81" w:rsidRDefault="00430F81">
      <w:pPr>
        <w:pStyle w:val="ConsPlusNormal0"/>
        <w:jc w:val="center"/>
      </w:pPr>
    </w:p>
    <w:p w:rsidR="00430F81" w:rsidRDefault="00672929">
      <w:pPr>
        <w:pStyle w:val="ConsPlusNormal0"/>
        <w:ind w:firstLine="540"/>
        <w:jc w:val="both"/>
      </w:pPr>
      <w:r>
        <w:t>В рамках работы по вопросам применения в субъектах Российской Федерации постановлений Конституционного Суда Российской Федерации от 23 се</w:t>
      </w:r>
      <w:r>
        <w:t xml:space="preserve">нтября 2024 года </w:t>
      </w:r>
      <w:hyperlink r:id="rId9" w:tooltip="Постановление Конституционного Суда РФ от 23.09.2024 N 40-П &quot;По делу о проверке конституционности статьи 129, частей первой и третьей статьи 133, частей первой - четвертой и одиннадцатой статьи 133.1 Трудового кодекса Российской Федерации в связи с жалобой гра">
        <w:r>
          <w:rPr>
            <w:color w:val="0000FF"/>
          </w:rPr>
          <w:t>N 40-П</w:t>
        </w:r>
      </w:hyperlink>
      <w:r>
        <w:t xml:space="preserve"> и от 5 марта 2025 г. </w:t>
      </w:r>
      <w:hyperlink r:id="rId10" w:tooltip="Постановление Конституционного Суда РФ от 05.03.2025 N 10-П &quot;По делу о проверке конституционности абзаца пятого части первой статьи 21, абзаца седьмого части второй статьи 22, части четвертой статьи 60.2, части третьей статьи 93, статьи 129, частей первой и тр">
        <w:r>
          <w:rPr>
            <w:color w:val="0000FF"/>
          </w:rPr>
          <w:t>N 10-П</w:t>
        </w:r>
      </w:hyperlink>
      <w:r>
        <w:t xml:space="preserve"> и в целях оказания метод</w:t>
      </w:r>
      <w:r>
        <w:t xml:space="preserve">ической помощи при реализации положений, предусмотренных </w:t>
      </w:r>
      <w:hyperlink r:id="rId1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пунктом 4 части 3 статьи 28</w:t>
        </w:r>
      </w:hyperlink>
      <w:r>
        <w:t xml:space="preserve"> Федерального закона от 29 декабря 2012 г. N 273-ФЗ "Об образовании в Российской Федерации", в соответствии с которыми к компетенции образовательной организации относится установление штатного расписания, Минпро</w:t>
      </w:r>
      <w:r>
        <w:t>свещения России направляет для использования в работе примерные штатные нормативы численности работников образовательных организаций, в том числе инклюзивных.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Дополнительно Минпросвещения России сообщает, что примерные штатные нормативы численности работни</w:t>
      </w:r>
      <w:r>
        <w:t>ков отдельных общеобразовательных организаций, реализующих адаптированные основные общеобразовательные программы ("коррекционных" школ), а также примерные штатные нормативы численности работников специальных учебно-воспитательных учреждений будут направлен</w:t>
      </w:r>
      <w:r>
        <w:t>ы в адрес руководителей органов исполнительной власти субъектов Российской Федерации, осуществляющих государственное управление в сфере образования, дополнительно.</w:t>
      </w:r>
    </w:p>
    <w:p w:rsidR="00430F81" w:rsidRDefault="00430F81">
      <w:pPr>
        <w:pStyle w:val="ConsPlusNormal0"/>
        <w:ind w:firstLine="540"/>
        <w:jc w:val="both"/>
      </w:pPr>
    </w:p>
    <w:p w:rsidR="00430F81" w:rsidRDefault="00672929">
      <w:pPr>
        <w:pStyle w:val="ConsPlusNormal0"/>
        <w:jc w:val="right"/>
      </w:pPr>
      <w:r>
        <w:t>Заместитель министра</w:t>
      </w:r>
    </w:p>
    <w:p w:rsidR="00430F81" w:rsidRDefault="00672929">
      <w:pPr>
        <w:pStyle w:val="ConsPlusNormal0"/>
        <w:jc w:val="right"/>
      </w:pPr>
      <w:r>
        <w:t>О.П.КОЛУДАРОВА</w:t>
      </w:r>
    </w:p>
    <w:p w:rsidR="00430F81" w:rsidRDefault="00430F81">
      <w:pPr>
        <w:pStyle w:val="ConsPlusNormal0"/>
        <w:jc w:val="right"/>
      </w:pPr>
    </w:p>
    <w:p w:rsidR="00430F81" w:rsidRDefault="00430F81">
      <w:pPr>
        <w:pStyle w:val="ConsPlusNormal0"/>
        <w:jc w:val="right"/>
      </w:pPr>
    </w:p>
    <w:p w:rsidR="00430F81" w:rsidRDefault="00430F81">
      <w:pPr>
        <w:pStyle w:val="ConsPlusNormal0"/>
        <w:jc w:val="right"/>
      </w:pPr>
    </w:p>
    <w:p w:rsidR="00430F81" w:rsidRDefault="00430F81">
      <w:pPr>
        <w:pStyle w:val="ConsPlusNormal0"/>
        <w:jc w:val="right"/>
      </w:pPr>
    </w:p>
    <w:p w:rsidR="00430F81" w:rsidRDefault="00430F81">
      <w:pPr>
        <w:pStyle w:val="ConsPlusNormal0"/>
        <w:jc w:val="right"/>
      </w:pPr>
    </w:p>
    <w:p w:rsidR="00430F81" w:rsidRDefault="00672929">
      <w:pPr>
        <w:pStyle w:val="ConsPlusNormal0"/>
        <w:jc w:val="right"/>
        <w:outlineLvl w:val="0"/>
      </w:pPr>
      <w:r>
        <w:t>Приложение 1</w:t>
      </w:r>
    </w:p>
    <w:p w:rsidR="00430F81" w:rsidRDefault="00430F81">
      <w:pPr>
        <w:pStyle w:val="ConsPlusNormal0"/>
        <w:jc w:val="right"/>
      </w:pPr>
    </w:p>
    <w:p w:rsidR="00430F81" w:rsidRDefault="00672929">
      <w:pPr>
        <w:pStyle w:val="ConsPlusTitle0"/>
        <w:jc w:val="center"/>
      </w:pPr>
      <w:r>
        <w:t>ОБЩИЕ ПОЛОЖЕНИЯ</w:t>
      </w:r>
    </w:p>
    <w:p w:rsidR="00430F81" w:rsidRDefault="00430F81">
      <w:pPr>
        <w:pStyle w:val="ConsPlusNormal0"/>
        <w:jc w:val="center"/>
      </w:pPr>
    </w:p>
    <w:p w:rsidR="00430F81" w:rsidRDefault="00672929">
      <w:pPr>
        <w:pStyle w:val="ConsPlusNormal0"/>
        <w:ind w:firstLine="540"/>
        <w:jc w:val="both"/>
      </w:pPr>
      <w:r>
        <w:t>1. К компетенции организации, осуществляющей образовательную деятельность (далее - образовательная организация) в установленной сфере деятельности относится установление штатного расписания, если иное не установлено нормативными правовыми актами Российской</w:t>
      </w:r>
      <w:r>
        <w:t xml:space="preserve"> Федерации.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Разработку штатного расписания образовательной организации рекомендуется осуществлять с учетом следующих законодательных и нормативных правовых актов, разъяснений и рекомендаций: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Федерального </w:t>
      </w:r>
      <w:hyperlink r:id="rId1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Федерации", в том числе связанных</w:t>
      </w:r>
      <w:r>
        <w:t xml:space="preserve"> с наименованиями образовательных организаций (далее - Федеральный закон N 273-ФЗ);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1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части 2 статьи 57</w:t>
        </w:r>
      </w:hyperlink>
      <w:r>
        <w:t xml:space="preserve"> Трудового кодекса Российской Федерации (далее - ТК РФ), предусматривающей, что если в соответствии с </w:t>
      </w:r>
      <w:hyperlink r:id="rId14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ТК</w:t>
        </w:r>
      </w:hyperlink>
      <w:r>
        <w:t xml:space="preserve">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</w:t>
      </w:r>
      <w:r>
        <w:t xml:space="preserve">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</w:t>
      </w:r>
      <w:r>
        <w:t xml:space="preserve"> Федерации, или соответствующим положениям профессиональных стандартов;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15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">
        <w:r>
          <w:rPr>
            <w:color w:val="0000FF"/>
          </w:rPr>
          <w:t>номенклатуры</w:t>
        </w:r>
      </w:hyperlink>
      <w:r>
        <w:t xml:space="preserve"> должностей педагогических работников организаций, осуществляющих об</w:t>
      </w:r>
      <w:r>
        <w:t>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r:id="rId16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>
        <w:r>
          <w:rPr>
            <w:color w:val="0000FF"/>
          </w:rPr>
          <w:t>приказа</w:t>
        </w:r>
      </w:hyperlink>
      <w:r>
        <w:t xml:space="preserve"> Минздравсоцразвития Российской Федерации от 26 августа 2010 г. N 761н "Об утверждении единого квалификационного справочника должностей руководителей, специали</w:t>
      </w:r>
      <w:r>
        <w:t>стов и служащих, раздел "Квалификационные характеристики должностей работников образования";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17" w:tooltip="Приказ Минтруда России от 30.09.2013 N 504 &quot;Об утверждении методических рекомендаций по разработке систем нормирования труда в государственных (муниципальных) учреждениях&quot; {КонсультантПлюс}">
        <w:r>
          <w:rPr>
            <w:color w:val="0000FF"/>
          </w:rPr>
          <w:t>приказа</w:t>
        </w:r>
      </w:hyperlink>
      <w:r>
        <w:t xml:space="preserve"> Минтруда России от 30 сентября 2013 г. N 504 "Об утверждении методических рекомендаций по разработке систем нормирования труда в госу</w:t>
      </w:r>
      <w:r>
        <w:t>дарственных (муниципальных) учреждениях";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18" w:tooltip="Приказ Минпросвещения России от 22.03.2021 N 115 (ред. от 04.03.202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приказа</w:t>
        </w:r>
      </w:hyperlink>
      <w:r>
        <w:t xml:space="preserve"> Минпросвещения России от 22 марта 2021 г. N 115 "Об утверждении Порядка организации и осуществления образовательно</w:t>
      </w:r>
      <w:r>
        <w:t>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19" w:tooltip="Приказ Минпросвещения России от 31.07.2020 N 373 (ред. от 25.10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">
        <w:r>
          <w:rPr>
            <w:color w:val="0000FF"/>
          </w:rPr>
          <w:t>приказа</w:t>
        </w:r>
      </w:hyperlink>
      <w:r>
        <w:t xml:space="preserve"> </w:t>
      </w:r>
      <w:r>
        <w:t xml:space="preserve">Минпросвещения России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(далее - приказ Минпросвещения </w:t>
      </w:r>
      <w:r>
        <w:t>России N 373);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0" w:tooltip="Приказ Минпросвещения России от 24.08.2022 N 762 (ред. от 20.12.2022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21.0">
        <w:r>
          <w:rPr>
            <w:color w:val="0000FF"/>
          </w:rPr>
          <w:t>приказа</w:t>
        </w:r>
      </w:hyperlink>
      <w:r>
        <w:t xml:space="preserve"> Минпросвещения России от 24 августа 2022 г. N 762 "Об утверждении порядка организации и осуществления образовательной деятельности по образо</w:t>
      </w:r>
      <w:r>
        <w:t>вательным программам среднего профессионального образования";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1" w:tooltip="Приказ Минпросвещения России от 27.07.2022 N 629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6.09.2022 N 70226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27 июля 2022 г. N 629 "Об утверждении порядка организации и осуществления об</w:t>
      </w:r>
      <w:r>
        <w:t>разовательной деятельности по дополнительным общеобразовательным программам" (далее - приказ Минпросвещения России N 629);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приказа</w:t>
        </w:r>
      </w:hyperlink>
      <w:r>
        <w:t xml:space="preserve"> Минпросвещения России от 6 ноября</w:t>
      </w:r>
      <w:r>
        <w:t xml:space="preserve"> 2024 г. N 778 "Об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риказ Минпросвещения России от 22.09.2021 N 662 (ред. от 15.09.2022) &quot;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">
        <w:r>
          <w:rPr>
            <w:color w:val="0000FF"/>
          </w:rPr>
          <w:t>приказа</w:t>
        </w:r>
      </w:hyperlink>
      <w:r>
        <w:t xml:space="preserve"> Минпросвещения России от 22 сентября 2021 г. N 662 "Об утверждении общих требований к определению нормативных затрат на оказание государственных (муниципальных</w:t>
      </w:r>
      <w:r>
        <w:t>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</w:t>
      </w:r>
      <w:r>
        <w:t>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</w:t>
      </w:r>
      <w:r>
        <w:t>муниципальных) услуг (выполнение работ) государственным (муниципальным) учреждением";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4" w:tooltip="Приказ Минпросвещения России от 04.04.2025 N 269 &quot;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">
        <w:r>
          <w:rPr>
            <w:color w:val="0000FF"/>
          </w:rPr>
          <w:t>приказа</w:t>
        </w:r>
      </w:hyperlink>
      <w:r>
        <w:t xml:space="preserve"> Минпросвещения России от 4 апреля 2025 г. N 269 "О продолжительности рабочего времени (нормах часов педагогической работы за ставку заработной платы) педагогиче</w:t>
      </w:r>
      <w:r>
        <w:t>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</w:t>
      </w:r>
      <w:r>
        <w:t>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</w:t>
      </w:r>
      <w:r>
        <w:t>и" (далее - приказ Минпросвещения России N 269);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5" w:tooltip="Приказ Минпросвещения России от 04.04.2025 N 268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">
        <w:r>
          <w:rPr>
            <w:color w:val="0000FF"/>
          </w:rPr>
          <w:t>приказа</w:t>
        </w:r>
      </w:hyperlink>
      <w:r>
        <w:t xml:space="preserve"> Минпросвещения России от 4 апреля 2025 г. N 268 "Об утверждении особенностей режима рабочего времени и врем</w:t>
      </w:r>
      <w:r>
        <w:t>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</w:t>
      </w:r>
      <w:r>
        <w:t>ьным профессиональным программам, основным программам профессионального обучения" (далее - приказ Минпросвещения России N 268);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6" w:tooltip="Постановление Минтруда РФ от 21.04.1993 N 88 &quot;Об утверждении Нормативов по определению численности персонала, занятого обслуживанием дошкольных учреждений (ясли, ясли-сады, детские сады)&quot; {КонсультантПлюс}">
        <w:r>
          <w:rPr>
            <w:color w:val="0000FF"/>
          </w:rPr>
          <w:t>постановления</w:t>
        </w:r>
      </w:hyperlink>
      <w:r>
        <w:t xml:space="preserve"> Минтруда России от 21 апреля 1993 г. N 88 "Об утверждении нормативов по опред</w:t>
      </w:r>
      <w:r>
        <w:t>елению численности персонала, занятого обслуживанием дошкольных учреждений (ясли, ясли-сад, детские сады)" (далее - постановление Минтруда России N 88);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lastRenderedPageBreak/>
        <w:t xml:space="preserve">- </w:t>
      </w:r>
      <w:hyperlink r:id="rId2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</w:t>
      </w:r>
      <w:r>
        <w:t>олодежи" (далее - СП 2.4.3648-20);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приказа</w:t>
        </w:r>
      </w:hyperlink>
      <w:r>
        <w:t xml:space="preserve"> Минтруда России от 29 сентября 2014 г. N 667н "О реестре профессиональных стандартов (перечне видов профессиональной деятельности)"; профессиональных стандар</w:t>
      </w:r>
      <w:r>
        <w:t>тов, утвержденных приказами Минтруда России;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29" w:tooltip="&quot;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&quot; (утв. решением Российской трехсторонней комиссии по регулированию социально-трудовых отно">
        <w:r>
          <w:rPr>
            <w:color w:val="0000FF"/>
          </w:rPr>
          <w:t>пункта 36.3 раздела IX</w:t>
        </w:r>
      </w:hyperlink>
      <w:r>
        <w:t xml:space="preserve">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2025 год, утвержденных решением Российской трехсторонней комиссии по регулированию социально-тр</w:t>
      </w:r>
      <w:r>
        <w:t>удовых отношений от 23 декабря 2024 г., протокол N 10пр;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30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распоряжения</w:t>
        </w:r>
      </w:hyperlink>
      <w:r>
        <w:t xml:space="preserve"> Минпросвещения России от 6 августа 2020 г. N Р-75 "Об утверждении примерного Положения об оказании логопедической помощи в орга</w:t>
      </w:r>
      <w:r>
        <w:t xml:space="preserve">низациях, осуществляющих образовательную деятельность" с учетом </w:t>
      </w:r>
      <w:hyperlink r:id="rId31" w:tooltip="&lt;Письмо&gt; Минпросвещения России от 24.11.2020 N ДГ-2210/07 &quot;О направлении разъяснений&quot; (вместе с &quot;Разъяснениями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">
        <w:r>
          <w:rPr>
            <w:color w:val="0000FF"/>
          </w:rPr>
          <w:t>Разъяснения</w:t>
        </w:r>
      </w:hyperlink>
      <w:r>
        <w:t xml:space="preserve"> по вопросу регулирования рабочего времени учителей-логопедов организаций, осу</w:t>
      </w:r>
      <w:r>
        <w:t>ществляющих образовательную деятельность, при выполнении ими должностных обязанностей, подготовленного Минпросвещения России и Общероссийским Профсоюзом образования (письмо от 24 ноября 2020 г. N ДГ-2210/07);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32" w:tooltip="Распоряжение Минпросвещения России от 28.12.2020 N Р-193 (ред. от 26.09.2023) &quot;Об утверждении методических рекомендаций по системе функционирования психологических служб в общеобразовательных организациях&quot; (вместе с &quot;Системой функционирования психологических с">
        <w:r>
          <w:rPr>
            <w:color w:val="0000FF"/>
          </w:rPr>
          <w:t>распоряжения</w:t>
        </w:r>
      </w:hyperlink>
      <w:r>
        <w:t xml:space="preserve"> Минпросвещения России от 28 декабря 2020 г. N Р-193 "Об утверждении методических рекомендаций по системе функционирования психологических служб в общеобразовательных организациях";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методических </w:t>
      </w:r>
      <w:hyperlink r:id="rId33" w:tooltip="&lt;Письмо&gt; Минпросвещения России от 02.03.2022 N 05-249 &quot;О направлении методических рекомендаций&quot; (вместе с &quot;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">
        <w:r>
          <w:rPr>
            <w:color w:val="0000FF"/>
          </w:rPr>
          <w:t>рекомендаций</w:t>
        </w:r>
      </w:hyperlink>
      <w:r>
        <w:t xml:space="preserve"> по внедрению единых требований к наличию специалистов, обеспечивающих комплексное сопровождение образовательного процесса обучающихся с инва</w:t>
      </w:r>
      <w:r>
        <w:t>лидностью и ограниченными возможностями здоровья при получении среднего профессионального образования и профессионального обучения, (письмо Минпросвещения России от 2 марта 2022 г. N 05-249);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совместного </w:t>
      </w:r>
      <w:hyperlink r:id="rId34" w:tooltip="&lt;Письмо&gt; Минпросвещения России N 08-1535, Общероссийского Профсоюза образования N 584 от 08.11.2024 &lt;О направлении ответов на часто задаваемые вопросы, связанные с преподаванием учебного предмета &quot;Основы безопасности и защиты Родины&quot; и правовым положением преп">
        <w:r>
          <w:rPr>
            <w:color w:val="0000FF"/>
          </w:rPr>
          <w:t>письма</w:t>
        </w:r>
      </w:hyperlink>
      <w:r>
        <w:t xml:space="preserve"> Минпросвещения России и Общероссийского Профсоюза образования от 8 ноября 2024 г. N 584 по вопросам замены должности "преподаватель-организатор основ безопасности жизнедеятельности" на "преподаватель-организа</w:t>
      </w:r>
      <w:r>
        <w:t>тор основ безопасности и защиты Родины";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- </w:t>
      </w:r>
      <w:hyperlink r:id="rId35" w:tooltip="Ссылка на КонсультантПлюс">
        <w:r>
          <w:rPr>
            <w:color w:val="0000FF"/>
          </w:rPr>
          <w:t>письма</w:t>
        </w:r>
      </w:hyperlink>
      <w:r>
        <w:t xml:space="preserve"> Минобрнауки России от 30 июля 2018 г. N 07-4587 (о проектах нормативов штатной численности педаг</w:t>
      </w:r>
      <w:r>
        <w:t>огов-психологов в образовательных организациях).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2. В случаях, когда по условиям и объему работы по отдельным должностям не могут быть применены примерные штатные нормативы численности работников образовательных организаций, указанные в </w:t>
      </w:r>
      <w:hyperlink w:anchor="P54" w:tooltip="ПРИМЕРНЫЕ ШТАТНЫЕ НОРМАТИВЫ">
        <w:r>
          <w:rPr>
            <w:color w:val="0000FF"/>
          </w:rPr>
          <w:t>приложениях 2</w:t>
        </w:r>
      </w:hyperlink>
      <w:r>
        <w:t xml:space="preserve"> - 5 (далее - примерные штатные нормативы), образовательные организации вправе заменять такие должности другими, увеличивать примерный штатный норматив по соответствующей должности и (или) устанавливать </w:t>
      </w:r>
      <w:r>
        <w:t>дополнительные должности работников, не предусмотренные примерными штатными нормативами, по согласованию с учредителем.</w:t>
      </w:r>
    </w:p>
    <w:p w:rsidR="00430F81" w:rsidRDefault="00430F81">
      <w:pPr>
        <w:pStyle w:val="ConsPlusNormal0"/>
        <w:ind w:firstLine="540"/>
        <w:jc w:val="both"/>
      </w:pPr>
    </w:p>
    <w:p w:rsidR="00430F81" w:rsidRDefault="00430F81">
      <w:pPr>
        <w:pStyle w:val="ConsPlusNormal0"/>
        <w:ind w:firstLine="540"/>
        <w:jc w:val="both"/>
      </w:pPr>
    </w:p>
    <w:p w:rsidR="00430F81" w:rsidRDefault="00430F81">
      <w:pPr>
        <w:pStyle w:val="ConsPlusNormal0"/>
        <w:ind w:firstLine="540"/>
        <w:jc w:val="both"/>
      </w:pPr>
    </w:p>
    <w:p w:rsidR="00430F81" w:rsidRDefault="00430F81">
      <w:pPr>
        <w:pStyle w:val="ConsPlusNormal0"/>
        <w:ind w:firstLine="540"/>
        <w:jc w:val="both"/>
      </w:pPr>
    </w:p>
    <w:p w:rsidR="00430F81" w:rsidRDefault="00430F81">
      <w:pPr>
        <w:pStyle w:val="ConsPlusNormal0"/>
        <w:ind w:firstLine="540"/>
        <w:jc w:val="both"/>
      </w:pPr>
    </w:p>
    <w:p w:rsidR="00430F81" w:rsidRDefault="00672929">
      <w:pPr>
        <w:pStyle w:val="ConsPlusNormal0"/>
        <w:jc w:val="right"/>
        <w:outlineLvl w:val="0"/>
      </w:pPr>
      <w:r>
        <w:t>Приложение 2</w:t>
      </w:r>
    </w:p>
    <w:p w:rsidR="00430F81" w:rsidRDefault="00430F81">
      <w:pPr>
        <w:pStyle w:val="ConsPlusNormal0"/>
        <w:jc w:val="right"/>
      </w:pPr>
    </w:p>
    <w:p w:rsidR="00430F81" w:rsidRDefault="00672929">
      <w:pPr>
        <w:pStyle w:val="ConsPlusTitle0"/>
        <w:jc w:val="center"/>
      </w:pPr>
      <w:bookmarkStart w:id="1" w:name="P54"/>
      <w:bookmarkEnd w:id="1"/>
      <w:r>
        <w:t>ПРИМЕРНЫЕ ШТАТНЫЕ НОРМАТИВЫ</w:t>
      </w:r>
    </w:p>
    <w:p w:rsidR="00430F81" w:rsidRDefault="00672929">
      <w:pPr>
        <w:pStyle w:val="ConsPlusTitle0"/>
        <w:jc w:val="center"/>
      </w:pPr>
      <w:r>
        <w:t>ЧИСЛЕННОСТИ РАБОТНИКОВ ОБЩЕОБРАЗОВАТЕЛЬНЫХ ОРГАНИЗАЦИЙ</w:t>
      </w:r>
    </w:p>
    <w:p w:rsidR="00430F81" w:rsidRDefault="00430F81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0"/>
        <w:gridCol w:w="5970"/>
      </w:tblGrid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5970" w:type="dxa"/>
            <w:vAlign w:val="bottom"/>
          </w:tcPr>
          <w:p w:rsidR="00430F81" w:rsidRDefault="00672929">
            <w:pPr>
              <w:pStyle w:val="ConsPlusNormal0"/>
              <w:jc w:val="center"/>
            </w:pPr>
            <w:r>
              <w:t>Количество должностей работников в зависимости от численности обучающихся и других условий определения их количества</w:t>
            </w:r>
          </w:p>
        </w:tc>
      </w:tr>
      <w:tr w:rsidR="00430F81">
        <w:tc>
          <w:tcPr>
            <w:tcW w:w="3060" w:type="dxa"/>
            <w:vAlign w:val="bottom"/>
          </w:tcPr>
          <w:p w:rsidR="00430F81" w:rsidRDefault="00672929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5970" w:type="dxa"/>
            <w:vAlign w:val="bottom"/>
          </w:tcPr>
          <w:p w:rsidR="00430F81" w:rsidRDefault="00672929">
            <w:pPr>
              <w:pStyle w:val="ConsPlusNormal0"/>
              <w:jc w:val="center"/>
            </w:pPr>
            <w:r>
              <w:t>2</w:t>
            </w:r>
          </w:p>
        </w:tc>
      </w:tr>
      <w:tr w:rsidR="00430F81">
        <w:tc>
          <w:tcPr>
            <w:tcW w:w="9030" w:type="dxa"/>
            <w:gridSpan w:val="2"/>
            <w:vAlign w:val="bottom"/>
          </w:tcPr>
          <w:p w:rsidR="00430F81" w:rsidRDefault="00672929">
            <w:pPr>
              <w:pStyle w:val="ConsPlusNormal0"/>
              <w:jc w:val="center"/>
              <w:outlineLvl w:val="1"/>
            </w:pPr>
            <w:r>
              <w:t>Должности работников административно-управленческого персонала (АУП)</w:t>
            </w:r>
          </w:p>
        </w:tc>
      </w:tr>
      <w:tr w:rsidR="00430F81">
        <w:tc>
          <w:tcPr>
            <w:tcW w:w="3060" w:type="dxa"/>
            <w:vAlign w:val="center"/>
          </w:tcPr>
          <w:p w:rsidR="00430F81" w:rsidRDefault="00672929">
            <w:pPr>
              <w:pStyle w:val="ConsPlusNormal0"/>
              <w:jc w:val="both"/>
            </w:pPr>
            <w:r>
              <w:t>Директор</w:t>
            </w:r>
          </w:p>
        </w:tc>
        <w:tc>
          <w:tcPr>
            <w:tcW w:w="5970" w:type="dxa"/>
            <w:vAlign w:val="bottom"/>
          </w:tcPr>
          <w:p w:rsidR="00430F81" w:rsidRDefault="00672929">
            <w:pPr>
              <w:pStyle w:val="ConsPlusNormal0"/>
              <w:jc w:val="both"/>
            </w:pPr>
            <w:r>
              <w:t>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Заместитель директора по учебной (учебно-воспитательной, воспитательной) работе</w:t>
            </w:r>
          </w:p>
        </w:tc>
        <w:tc>
          <w:tcPr>
            <w:tcW w:w="5970" w:type="dxa"/>
            <w:vAlign w:val="bottom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200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от 200 до 299 чел. - 1;</w:t>
            </w:r>
          </w:p>
          <w:p w:rsidR="00430F81" w:rsidRDefault="00672929">
            <w:pPr>
              <w:pStyle w:val="ConsPlusNormal0"/>
              <w:jc w:val="both"/>
            </w:pPr>
            <w:r>
              <w:t>- от 300 до 399 чел. - 1,5;</w:t>
            </w:r>
          </w:p>
          <w:p w:rsidR="00430F81" w:rsidRDefault="00672929">
            <w:pPr>
              <w:pStyle w:val="ConsPlusNormal0"/>
              <w:jc w:val="both"/>
            </w:pPr>
            <w:r>
              <w:t>- от 400 до 599 чел. - 2;</w:t>
            </w:r>
          </w:p>
          <w:p w:rsidR="00430F81" w:rsidRDefault="00672929">
            <w:pPr>
              <w:pStyle w:val="ConsPlusNormal0"/>
              <w:jc w:val="both"/>
            </w:pPr>
            <w:r>
              <w:t>- от 600 до 799 чел. - 2,5;</w:t>
            </w:r>
          </w:p>
          <w:p w:rsidR="00430F81" w:rsidRDefault="00672929">
            <w:pPr>
              <w:pStyle w:val="ConsPlusNormal0"/>
              <w:jc w:val="both"/>
            </w:pPr>
            <w:r>
              <w:t>- от 800 чел. и более - 3</w:t>
            </w:r>
          </w:p>
        </w:tc>
      </w:tr>
      <w:tr w:rsidR="00430F81">
        <w:tc>
          <w:tcPr>
            <w:tcW w:w="3060" w:type="dxa"/>
            <w:vAlign w:val="bottom"/>
          </w:tcPr>
          <w:p w:rsidR="00430F81" w:rsidRDefault="00672929">
            <w:pPr>
              <w:pStyle w:val="ConsPlusNormal0"/>
              <w:jc w:val="both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 300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5970" w:type="dxa"/>
            <w:vAlign w:val="bottom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80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- 80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Заведующий хозяйством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200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от 200 до 299 чел. - 1</w:t>
            </w:r>
          </w:p>
          <w:p w:rsidR="00430F81" w:rsidRDefault="00672929">
            <w:pPr>
              <w:pStyle w:val="ConsPlusNormal0"/>
              <w:jc w:val="both"/>
            </w:pPr>
            <w:r>
              <w:t>При наличии обособленного структурного подразделения (филиала), расположенного на отдельной территории, предусматривается дополнительно 0,5 единицы должности заведующего хозяйств</w:t>
            </w:r>
            <w:r>
              <w:t>ом, независимо от численности обучающихся</w:t>
            </w:r>
          </w:p>
        </w:tc>
      </w:tr>
      <w:tr w:rsidR="00430F81">
        <w:tc>
          <w:tcPr>
            <w:tcW w:w="3060" w:type="dxa"/>
            <w:vAlign w:val="bottom"/>
          </w:tcPr>
          <w:p w:rsidR="00430F81" w:rsidRDefault="00672929">
            <w:pPr>
              <w:pStyle w:val="ConsPlusNormal0"/>
            </w:pPr>
            <w:r>
              <w:t>Заведующий библиотекой</w:t>
            </w:r>
          </w:p>
        </w:tc>
        <w:tc>
          <w:tcPr>
            <w:tcW w:w="5970" w:type="dxa"/>
            <w:vAlign w:val="center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 340 и более чел. - 1</w:t>
            </w:r>
          </w:p>
        </w:tc>
      </w:tr>
      <w:tr w:rsidR="00430F81">
        <w:tc>
          <w:tcPr>
            <w:tcW w:w="9030" w:type="dxa"/>
            <w:gridSpan w:val="2"/>
          </w:tcPr>
          <w:p w:rsidR="00430F81" w:rsidRDefault="00672929">
            <w:pPr>
              <w:pStyle w:val="ConsPlusNormal0"/>
              <w:jc w:val="center"/>
              <w:outlineLvl w:val="1"/>
            </w:pPr>
            <w:r>
              <w:t>Должности работников учебно-вспомогательного персонала (УВП)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Секретарь учебной части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количестве классов (классов-комплектов):</w:t>
            </w:r>
          </w:p>
          <w:p w:rsidR="00430F81" w:rsidRDefault="00672929">
            <w:pPr>
              <w:pStyle w:val="ConsPlusNormal0"/>
              <w:jc w:val="both"/>
            </w:pPr>
            <w:r>
              <w:t>- от 4 до 16 - 0,5;</w:t>
            </w:r>
          </w:p>
          <w:p w:rsidR="00430F81" w:rsidRDefault="00672929">
            <w:pPr>
              <w:pStyle w:val="ConsPlusNormal0"/>
              <w:jc w:val="both"/>
            </w:pPr>
            <w:r>
              <w:t>- 17 и более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Диспетчер образовательного учреждения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количестве классов 30 и более - 1</w:t>
            </w:r>
          </w:p>
        </w:tc>
      </w:tr>
      <w:tr w:rsidR="00430F81">
        <w:tc>
          <w:tcPr>
            <w:tcW w:w="9030" w:type="dxa"/>
            <w:gridSpan w:val="2"/>
          </w:tcPr>
          <w:p w:rsidR="00430F81" w:rsidRDefault="00672929">
            <w:pPr>
              <w:pStyle w:val="ConsPlusNormal0"/>
              <w:jc w:val="center"/>
              <w:outlineLvl w:val="1"/>
            </w:pPr>
            <w:r>
              <w:t>Должности педагогических работников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Учитель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Количество должностей учителей определяется с учетом кадровой ситуации на основе тарификации в соответствии с учебно-методической документацией (федеральный учебный план, федеральный календарный учебный график, федеральные рабочие программы учебных предмет</w:t>
            </w:r>
            <w:r>
              <w:t>ов, курсов, дисциплин [модулей], иных компонентов)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Педагог-библиотекарь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300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- 300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Педагог-организатор (старший вожатый)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от 80 до 299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lastRenderedPageBreak/>
              <w:t>- 300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100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от 100 до 749 чел. - 1;</w:t>
            </w:r>
          </w:p>
          <w:p w:rsidR="00430F81" w:rsidRDefault="00672929">
            <w:pPr>
              <w:pStyle w:val="ConsPlusNormal0"/>
              <w:jc w:val="both"/>
            </w:pPr>
            <w:r>
              <w:t>- от 750 до 1299 чел. - 1,5;</w:t>
            </w:r>
          </w:p>
          <w:p w:rsidR="00430F81" w:rsidRDefault="00672929">
            <w:pPr>
              <w:pStyle w:val="ConsPlusNormal0"/>
              <w:jc w:val="both"/>
            </w:pPr>
            <w:r>
              <w:t>- от 1300 до 1849 чел. - 2;</w:t>
            </w:r>
          </w:p>
          <w:p w:rsidR="00430F81" w:rsidRDefault="00672929">
            <w:pPr>
              <w:pStyle w:val="ConsPlusNormal0"/>
              <w:jc w:val="both"/>
            </w:pPr>
            <w:r>
              <w:t>- от 18</w:t>
            </w:r>
            <w:r>
              <w:t>50 до 2399 чел. - 2,5;</w:t>
            </w:r>
          </w:p>
          <w:p w:rsidR="00430F81" w:rsidRDefault="00672929">
            <w:pPr>
              <w:pStyle w:val="ConsPlusNormal0"/>
              <w:jc w:val="both"/>
            </w:pPr>
            <w:r>
              <w:t>- 2400 и более чел. - 3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Социальный педагог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200 чел. - 0,25;</w:t>
            </w:r>
          </w:p>
          <w:p w:rsidR="00430F81" w:rsidRDefault="00672929">
            <w:pPr>
              <w:pStyle w:val="ConsPlusNormal0"/>
              <w:jc w:val="both"/>
            </w:pPr>
            <w:r>
              <w:t>- от 200 до 349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- 350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Воспитатель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 xml:space="preserve">Количество должностей воспитателей для работы в группах продленного дня определяется в зависимости от количества групп, сформированных в соответствии с положениями </w:t>
            </w:r>
            <w:hyperlink r:id="rId3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      <w:r>
                <w:rPr>
                  <w:color w:val="0000FF"/>
                </w:rPr>
                <w:t>пункта 3.4.14</w:t>
              </w:r>
            </w:hyperlink>
            <w:r>
              <w:t xml:space="preserve"> СП 2.4.3648-20, продолжительности их функционирования, а также нормы часов педагогической работы за ставку заработной платы, соответствующей 30 часам в неделю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Преподаватель-организатор основ безопасности и защиты Родины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Должность п</w:t>
            </w:r>
            <w:r>
              <w:t>реподавателя-организатора основ безопасности и защиты Родины устанавливается с учетом осуществления им преподавательской работы по учебному предмету "Основы безопасности и защиты Родины" не менее 5 и не более 9 часов в неделю (360 в год).</w:t>
            </w:r>
          </w:p>
          <w:p w:rsidR="00430F81" w:rsidRDefault="00672929">
            <w:pPr>
              <w:pStyle w:val="ConsPlusNormal0"/>
              <w:jc w:val="both"/>
            </w:pPr>
            <w:r>
              <w:t>В случае если количество часов в учебном плане образовательной организации по учебному предмету "Основы безопасности и защиты Родины" составляет менее 5 часов в неделю (менее 180 часов в год), устанавливается 0,5 единицы должности преподавателя-организатор</w:t>
            </w:r>
            <w:r>
              <w:t>а основ безопасности и защиты Родины.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Педагог-психолог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Должность педагога-психолога устанавливается из расчета одна должность на каждые 300 обучающихся.</w:t>
            </w:r>
          </w:p>
          <w:p w:rsidR="00430F81" w:rsidRDefault="00672929">
            <w:pPr>
              <w:pStyle w:val="ConsPlusNormal0"/>
              <w:jc w:val="both"/>
            </w:pPr>
            <w:r>
              <w:t>При количестве обучающихся менее 300 человек используется сетевая форма организации психолого-педагоги</w:t>
            </w:r>
            <w:r>
              <w:t>ческой помощи, которая обеспечивается центром психолого-педагогической, медицинской и социальной помощи.</w:t>
            </w:r>
          </w:p>
          <w:p w:rsidR="00430F81" w:rsidRDefault="00672929">
            <w:pPr>
              <w:pStyle w:val="ConsPlusNormal0"/>
              <w:jc w:val="both"/>
            </w:pPr>
            <w:r>
              <w:t>При численности обучающихся с ограниченными возможностями здоровья (при наличии заключения психолого-медико-педагогической комиссии) 20 человек - 1.</w:t>
            </w:r>
          </w:p>
          <w:p w:rsidR="00430F81" w:rsidRDefault="00672929">
            <w:pPr>
              <w:pStyle w:val="ConsPlusNormal0"/>
              <w:jc w:val="both"/>
            </w:pPr>
            <w:r>
              <w:t>Пр</w:t>
            </w:r>
            <w:r>
              <w:t>и численности обучающихся с расстройствами аутистического спектра (при наличии заключения психолого-медико-педагогической комиссии) 5 - 8 человек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Учитель-логопед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 с ограниченными возможностями здоровья (при наличии заключения психолого-медико-педагогической комиссии) 6 - 12 человек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Учитель-дефектолог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 с ограниченными возможностями здоровья (при наличии закл</w:t>
            </w:r>
            <w:r>
              <w:t xml:space="preserve">ючения </w:t>
            </w:r>
            <w:r>
              <w:lastRenderedPageBreak/>
              <w:t>психолого-медико-педагогической комиссии) 6 - 12 человек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lastRenderedPageBreak/>
              <w:t>Тьютор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 с ограниченными возможностями здоровья (при наличии заключения психолого-медико-педагогической комиссии) 1 - 6 человек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Мастер производственного обу</w:t>
            </w:r>
            <w:r>
              <w:t>чения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В образовательных организациях, в которых введено обучение обучающихся вождению транспортных средств, работе на сельскохозяйственных машинах, устанавливаются должности мастеров производственного обучения исходя из количества групп и количества часов,</w:t>
            </w:r>
            <w:r>
              <w:t xml:space="preserve"> предусматриваемых учебным планом, программой профессионального обучения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Методист</w:t>
            </w:r>
          </w:p>
          <w:p w:rsidR="00430F81" w:rsidRDefault="00672929">
            <w:pPr>
              <w:pStyle w:val="ConsPlusNormal0"/>
              <w:jc w:val="both"/>
            </w:pPr>
            <w:r>
              <w:t>(старший методист)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Должность методиста (старшего методиста) устанавливается из расчета одна должность на 10 учителей</w:t>
            </w:r>
          </w:p>
        </w:tc>
      </w:tr>
      <w:tr w:rsidR="00430F81">
        <w:tc>
          <w:tcPr>
            <w:tcW w:w="9030" w:type="dxa"/>
            <w:gridSpan w:val="2"/>
          </w:tcPr>
          <w:p w:rsidR="00430F81" w:rsidRDefault="00672929">
            <w:pPr>
              <w:pStyle w:val="ConsPlusNormal0"/>
              <w:jc w:val="center"/>
              <w:outlineLvl w:val="1"/>
            </w:pPr>
            <w:r>
              <w:t xml:space="preserve">Общеотраслевые должности служащих (ОДС) </w:t>
            </w:r>
            <w:hyperlink w:anchor="P205" w:tooltip="&lt;*&gt; Должности вводятся только при отсутствии договора с внешней организацией или индивидуальным предпринимателем на выполнение соответствующего функционала.">
              <w:r>
                <w:rPr>
                  <w:color w:val="0000FF"/>
                </w:rPr>
                <w:t>&lt;*&gt;</w:t>
              </w:r>
            </w:hyperlink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</w:pPr>
            <w:r>
              <w:t>Бухгалтер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от 240 до 299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от 300 до 499 чел. - 1;</w:t>
            </w:r>
          </w:p>
          <w:p w:rsidR="00430F81" w:rsidRDefault="00672929">
            <w:pPr>
              <w:pStyle w:val="ConsPlusNormal0"/>
              <w:jc w:val="both"/>
            </w:pPr>
            <w:r>
              <w:t>- от 450 до 599 чел. - 1,5;</w:t>
            </w:r>
          </w:p>
          <w:p w:rsidR="00430F81" w:rsidRDefault="00672929">
            <w:pPr>
              <w:pStyle w:val="ConsPlusNormal0"/>
              <w:jc w:val="both"/>
            </w:pPr>
            <w:r>
              <w:t>- от 600 до 799 чел. - 2;</w:t>
            </w:r>
          </w:p>
          <w:p w:rsidR="00430F81" w:rsidRDefault="00672929">
            <w:pPr>
              <w:pStyle w:val="ConsPlusNormal0"/>
              <w:jc w:val="both"/>
            </w:pPr>
            <w:r>
              <w:t>- от 800 до 999 чел. - 2,5;</w:t>
            </w:r>
          </w:p>
          <w:p w:rsidR="00430F81" w:rsidRDefault="00672929">
            <w:pPr>
              <w:pStyle w:val="ConsPlusNormal0"/>
              <w:jc w:val="both"/>
            </w:pPr>
            <w:r>
              <w:t>- 1000 и более чел. - 3.</w:t>
            </w:r>
          </w:p>
          <w:p w:rsidR="00430F81" w:rsidRDefault="00672929">
            <w:pPr>
              <w:pStyle w:val="ConsPlusNormal0"/>
              <w:jc w:val="both"/>
            </w:pPr>
            <w:r>
              <w:t>Одна должность бухгалтера полностью или частично может быть замещена должностью экономиста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Кассир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осуществлении в образовательной организации операций по приему, учету, выдаче и хранению денежных средств с обязательным соблюдением правил, обеспечивающих их сохранность, вводится должность кассира в зависимости от объема кассовых операций, но не боле</w:t>
            </w:r>
            <w:r>
              <w:t>е одной должности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Системный администратор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200 чел. - 0,25;</w:t>
            </w:r>
          </w:p>
          <w:p w:rsidR="00430F81" w:rsidRDefault="00672929">
            <w:pPr>
              <w:pStyle w:val="ConsPlusNormal0"/>
              <w:jc w:val="both"/>
            </w:pPr>
            <w:r>
              <w:t>- от 200 до 399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- 400 и более чел. - 1.</w:t>
            </w:r>
          </w:p>
          <w:p w:rsidR="00430F81" w:rsidRDefault="00672929">
            <w:pPr>
              <w:pStyle w:val="ConsPlusNormal0"/>
              <w:jc w:val="both"/>
            </w:pPr>
            <w:r>
              <w:t>При наличии двух и более зданий дополнительно устанавливается 0,25 ставки на каждое здание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Юрисконсульт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</w:t>
            </w:r>
            <w:r>
              <w:t>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от 80 до 199 чел. - 0,25;</w:t>
            </w:r>
          </w:p>
          <w:p w:rsidR="00430F81" w:rsidRDefault="00672929">
            <w:pPr>
              <w:pStyle w:val="ConsPlusNormal0"/>
              <w:jc w:val="both"/>
            </w:pPr>
            <w:r>
              <w:t>- от 200 до 449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- 450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Специалист по кадрам (делопроизводитель)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200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от 200 до 449 чел. - 1;</w:t>
            </w:r>
          </w:p>
          <w:p w:rsidR="00430F81" w:rsidRDefault="00672929">
            <w:pPr>
              <w:pStyle w:val="ConsPlusNormal0"/>
              <w:jc w:val="both"/>
            </w:pPr>
            <w:r>
              <w:t>- от 450 до 599 чел. - 1,5;</w:t>
            </w:r>
          </w:p>
          <w:p w:rsidR="00430F81" w:rsidRDefault="00672929">
            <w:pPr>
              <w:pStyle w:val="ConsPlusNormal0"/>
              <w:jc w:val="both"/>
            </w:pPr>
            <w:r>
              <w:t>- 600 и более чел. - 2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Специалист по закупкам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менее 80 чел. - 0,25;</w:t>
            </w:r>
          </w:p>
          <w:p w:rsidR="00430F81" w:rsidRDefault="00672929">
            <w:pPr>
              <w:pStyle w:val="ConsPlusNormal0"/>
              <w:jc w:val="both"/>
            </w:pPr>
            <w:r>
              <w:lastRenderedPageBreak/>
              <w:t>- от 80 до 299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- 300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lastRenderedPageBreak/>
              <w:t>Техник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обучающихся:</w:t>
            </w:r>
          </w:p>
          <w:p w:rsidR="00430F81" w:rsidRDefault="00672929">
            <w:pPr>
              <w:pStyle w:val="ConsPlusNormal0"/>
              <w:jc w:val="both"/>
            </w:pPr>
            <w:r>
              <w:t>- от 240 до 339 чел. - 0,5;</w:t>
            </w:r>
          </w:p>
          <w:p w:rsidR="00430F81" w:rsidRDefault="00672929">
            <w:pPr>
              <w:pStyle w:val="ConsPlusNormal0"/>
              <w:jc w:val="both"/>
            </w:pPr>
            <w:r>
              <w:t>- 340 и более чел. - 1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Лаборант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Должност</w:t>
            </w:r>
            <w:r>
              <w:t>ь лаборанта устанавливается при наличии оборудованных учебных кабинетов физики, химии и других из расчета 0,5 единицы должности на каждый учебный кабинет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Ассистент (помощник)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численности обучающихся с ограниченными возможностями здоровья (при наличии заключения психолого-медико-педагогической комиссии) 1 - 6 человек - 1</w:t>
            </w:r>
          </w:p>
        </w:tc>
      </w:tr>
      <w:tr w:rsidR="00430F81">
        <w:tc>
          <w:tcPr>
            <w:tcW w:w="9030" w:type="dxa"/>
            <w:gridSpan w:val="2"/>
          </w:tcPr>
          <w:p w:rsidR="00430F81" w:rsidRDefault="00672929">
            <w:pPr>
              <w:pStyle w:val="ConsPlusNormal0"/>
              <w:jc w:val="center"/>
              <w:outlineLvl w:val="1"/>
            </w:pPr>
            <w:r>
              <w:t xml:space="preserve">Общеотраслевые профессии рабочих (ОПР) </w:t>
            </w:r>
            <w:hyperlink w:anchor="P205" w:tooltip="&lt;*&gt; Должности вводятся только при отсутствии договора с внешней организацией или индивидуальным предпринимателем на выполнение соответствующего функционала.">
              <w:r>
                <w:rPr>
                  <w:color w:val="0000FF"/>
                </w:rPr>
                <w:t>&lt;*&gt;</w:t>
              </w:r>
            </w:hyperlink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Рабочий по комплексному обслуживанию и ремонту зданий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количестве классов (классов-комплектов):</w:t>
            </w:r>
          </w:p>
          <w:p w:rsidR="00430F81" w:rsidRDefault="00672929">
            <w:pPr>
              <w:pStyle w:val="ConsPlusNormal0"/>
              <w:jc w:val="both"/>
            </w:pPr>
            <w:r>
              <w:t>- от 1 до 11 - 0,5;</w:t>
            </w:r>
          </w:p>
          <w:p w:rsidR="00430F81" w:rsidRDefault="00672929">
            <w:pPr>
              <w:pStyle w:val="ConsPlusNormal0"/>
              <w:jc w:val="both"/>
            </w:pPr>
            <w:r>
              <w:t xml:space="preserve">- от 12 </w:t>
            </w:r>
            <w:r>
              <w:t>до 16 - 1;</w:t>
            </w:r>
          </w:p>
          <w:p w:rsidR="00430F81" w:rsidRDefault="00672929">
            <w:pPr>
              <w:pStyle w:val="ConsPlusNormal0"/>
              <w:jc w:val="both"/>
            </w:pPr>
            <w:r>
              <w:t>- от 17 до 22 - 1,5;</w:t>
            </w:r>
          </w:p>
          <w:p w:rsidR="00430F81" w:rsidRDefault="00672929">
            <w:pPr>
              <w:pStyle w:val="ConsPlusNormal0"/>
              <w:jc w:val="both"/>
            </w:pPr>
            <w:r>
              <w:t>- 23 и более - 2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Гардеробщик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наличии оборудованного гардероба на осенне-зимний период вводится должность гардеробщика из расчета 0,5 единицы должности на каждые 10 классов, но не менее 0,5 единицы должности на гардероб.</w:t>
            </w:r>
          </w:p>
          <w:p w:rsidR="00430F81" w:rsidRDefault="00672929">
            <w:pPr>
              <w:pStyle w:val="ConsPlusNormal0"/>
              <w:jc w:val="both"/>
            </w:pPr>
            <w:r>
              <w:t>В образовательных организациях, в которых проводятся занятия с обучающимися во вторую смену, а также занятия групп продленного дня, дополнительно устанавливаются должности гардеробщиков из расчета 0,5 единицы должности на гардероб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Уборщик служебных помещ</w:t>
            </w:r>
            <w:r>
              <w:t>ений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Должности уборщиков служебных помещений устанавливаются:</w:t>
            </w:r>
          </w:p>
          <w:p w:rsidR="00430F81" w:rsidRDefault="00672929">
            <w:pPr>
              <w:pStyle w:val="ConsPlusNormal0"/>
              <w:jc w:val="both"/>
            </w:pPr>
            <w:r>
              <w:t>- из расчета 0,5 единицы должности на каждые 250 кв. м убираемой площади, но не менее 0,5 единицы должности на организацию;</w:t>
            </w:r>
          </w:p>
          <w:p w:rsidR="00430F81" w:rsidRDefault="00672929">
            <w:pPr>
              <w:pStyle w:val="ConsPlusNormal0"/>
              <w:jc w:val="both"/>
            </w:pPr>
            <w:r>
              <w:t>- в организациях, в которых убираемая площадь используется повторно (п</w:t>
            </w:r>
            <w:r>
              <w:t>ри проведении учебных занятий в две смены, занятий групп продленного дня), дополнительно устанавливается 0,25 единицы должности на каждые 250 кв. м используемой площади повторно и 0,5 единицы должности на каждые 250 кв. м убираемой площади (при большем кол</w:t>
            </w:r>
            <w:r>
              <w:t>ичестве смен, длительном нахождении обучающихся в группе продленного дня, а также при проведении иных занятий). При определении размера убираемой площади учитывается площадь пола классов, кабинетов, лабораторий, залов, мастерских, лестничных клеток, рекреа</w:t>
            </w:r>
            <w:r>
              <w:t>ций и других помещений, требующих ежедневной уборки.</w:t>
            </w:r>
          </w:p>
          <w:p w:rsidR="00430F81" w:rsidRDefault="00672929">
            <w:pPr>
              <w:pStyle w:val="ConsPlusNormal0"/>
              <w:jc w:val="both"/>
            </w:pPr>
            <w:r>
              <w:t>Не учитывается площадь стен, дверей, подоконников, поверхность парт, столов, площадь чердачных и подвальных помещений (кроме случаев, когда в таких помещениях расположены гардероб, мастерские, а также эт</w:t>
            </w:r>
            <w:r>
              <w:t>и помещения используются для других целей, требующих регулярной уборки)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lastRenderedPageBreak/>
              <w:t>Дворник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Должность дворника устанавливается в образовательной организации в соответствии с нормами убираемой площади, утвержденными органами местного самоуправления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Садовник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В образов</w:t>
            </w:r>
            <w:r>
              <w:t>ательной организации, имеющей фруктовый сад или земельный участок с декоративными насаждениями площадью не менее 1,5 га, может вводиться должность садовника на сезон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Сторож (старший сторож)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Норматив численности сторожей определяется в зависимости от количества корпусов, постов в них из расчета одна единица в смену на один пост.</w:t>
            </w:r>
          </w:p>
          <w:p w:rsidR="00430F81" w:rsidRDefault="00672929">
            <w:pPr>
              <w:pStyle w:val="ConsPlusNormal0"/>
              <w:jc w:val="both"/>
            </w:pPr>
            <w:r>
              <w:t>Должность старшего сторожа устанавливается при условии, если работник наряду с выполнением обязанностей, предусмотре</w:t>
            </w:r>
            <w:r>
              <w:t>нных по занимаемой должности, осуществляет руководство подчиненными ему другими работниками в течение одной смены</w:t>
            </w:r>
          </w:p>
        </w:tc>
      </w:tr>
      <w:tr w:rsidR="00430F81">
        <w:tc>
          <w:tcPr>
            <w:tcW w:w="3060" w:type="dxa"/>
          </w:tcPr>
          <w:p w:rsidR="00430F81" w:rsidRDefault="00672929">
            <w:pPr>
              <w:pStyle w:val="ConsPlusNormal0"/>
              <w:jc w:val="both"/>
            </w:pPr>
            <w:r>
              <w:t>Водитель автомобиля</w:t>
            </w:r>
          </w:p>
        </w:tc>
        <w:tc>
          <w:tcPr>
            <w:tcW w:w="5970" w:type="dxa"/>
          </w:tcPr>
          <w:p w:rsidR="00430F81" w:rsidRDefault="00672929">
            <w:pPr>
              <w:pStyle w:val="ConsPlusNormal0"/>
              <w:jc w:val="both"/>
            </w:pPr>
            <w:r>
              <w:t>При наличии на балансе образовательной организации действующих транспортных средств (кроме транспортных средств, использу</w:t>
            </w:r>
            <w:r>
              <w:t>емых в учебном процессе) вводится должность водителя автомобиля в зависимости от количества транспортных средств и порядка их эксплуатации</w:t>
            </w:r>
          </w:p>
        </w:tc>
      </w:tr>
    </w:tbl>
    <w:p w:rsidR="00430F81" w:rsidRDefault="00430F81">
      <w:pPr>
        <w:pStyle w:val="ConsPlusNormal0"/>
        <w:ind w:firstLine="540"/>
        <w:jc w:val="both"/>
      </w:pPr>
    </w:p>
    <w:p w:rsidR="00430F81" w:rsidRDefault="00672929">
      <w:pPr>
        <w:pStyle w:val="ConsPlusNormal0"/>
        <w:ind w:firstLine="540"/>
        <w:jc w:val="both"/>
      </w:pPr>
      <w:r>
        <w:t>--------------------------------</w:t>
      </w:r>
    </w:p>
    <w:p w:rsidR="00430F81" w:rsidRDefault="00672929">
      <w:pPr>
        <w:pStyle w:val="ConsPlusNormal0"/>
        <w:spacing w:before="200"/>
        <w:ind w:firstLine="540"/>
        <w:jc w:val="both"/>
      </w:pPr>
      <w:bookmarkStart w:id="2" w:name="P205"/>
      <w:bookmarkEnd w:id="2"/>
      <w:r>
        <w:t>&lt;*&gt; Должности вводятся только при отсутствии договора с внешней организацией или и</w:t>
      </w:r>
      <w:r>
        <w:t>ндивидуальным предпринимателем на выполнение соответствующего функционала.</w:t>
      </w:r>
    </w:p>
    <w:p w:rsidR="00430F81" w:rsidRDefault="00430F81">
      <w:pPr>
        <w:pStyle w:val="ConsPlusNormal0"/>
        <w:ind w:firstLine="540"/>
        <w:jc w:val="both"/>
      </w:pPr>
    </w:p>
    <w:p w:rsidR="00430F81" w:rsidRDefault="00672929">
      <w:pPr>
        <w:pStyle w:val="ConsPlusNormal0"/>
        <w:ind w:firstLine="540"/>
        <w:jc w:val="both"/>
      </w:pPr>
      <w:r>
        <w:t>Примечания.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1. В общеобразовательной организации, осуществляющей образовательную деятельность по образовательным программам дошкольного образования, численность обучающихся для рас</w:t>
      </w:r>
      <w:r>
        <w:t>чета количества штатных должностей принимается с учетом обучающихся в дошкольных группах.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2. Под классом-комплектом понимается объединение в один класс двух классов разных лет обучения начального образования в школе с низкой наполняемостью (малокомплектной</w:t>
      </w:r>
      <w:r>
        <w:t xml:space="preserve"> школе) с соблюдением требований </w:t>
      </w:r>
      <w:hyperlink r:id="rId3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>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3. Соблюдение требований охраны труда, осуществления контроля за их выполнением обеспечивается в соответствии со </w:t>
      </w:r>
      <w:hyperlink r:id="rId3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ст. 223</w:t>
        </w:r>
      </w:hyperlink>
      <w:r>
        <w:t xml:space="preserve"> ТК РФ.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4. Должности главного бухгалтера, бухгалтера устанавливаются в образовательной организации при самостоятельном ведении бухгалтерского учета и составлении бухгалтерской отчетности.</w:t>
      </w:r>
    </w:p>
    <w:p w:rsidR="00430F81" w:rsidRDefault="00430F81">
      <w:pPr>
        <w:pStyle w:val="ConsPlusNormal0"/>
        <w:jc w:val="center"/>
      </w:pPr>
    </w:p>
    <w:p w:rsidR="00430F81" w:rsidRDefault="00672929">
      <w:pPr>
        <w:pStyle w:val="ConsPlusTitle0"/>
        <w:jc w:val="center"/>
        <w:outlineLvl w:val="1"/>
      </w:pPr>
      <w:r>
        <w:t>Дополнительные штатные нормативы численности работников</w:t>
      </w:r>
    </w:p>
    <w:p w:rsidR="00430F81" w:rsidRDefault="00672929">
      <w:pPr>
        <w:pStyle w:val="ConsPlusTitle0"/>
        <w:jc w:val="center"/>
      </w:pPr>
      <w:r>
        <w:t>общеобразовательных организаций</w:t>
      </w:r>
    </w:p>
    <w:p w:rsidR="00430F81" w:rsidRDefault="00430F81">
      <w:pPr>
        <w:pStyle w:val="ConsPlusNormal0"/>
        <w:jc w:val="center"/>
      </w:pPr>
    </w:p>
    <w:p w:rsidR="00430F81" w:rsidRDefault="00672929">
      <w:pPr>
        <w:pStyle w:val="ConsPlusNormal0"/>
        <w:ind w:firstLine="540"/>
        <w:jc w:val="both"/>
      </w:pPr>
      <w:r>
        <w:t xml:space="preserve">1. Для обеспечения и организации горячего питания в штатном расписании образовательной организации предусматриваются должности заведующего производством (шеф-повара), </w:t>
      </w:r>
      <w:r>
        <w:t>повара, кухонного рабочего, кладовщика при условии приготовления пищи непосредственно в общеобразовательной организации. При наличии филиала, обособленного структурного подразделения, имеющего отдельный пищеблок, указанные должности предусматриваются с уче</w:t>
      </w:r>
      <w:r>
        <w:t>том работы данного пищеблока.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При заключении договора с организацией, осуществляющей поставку готового питания, предусматривается должность "буфетчик" в количестве не менее одной единицы в смену на каждую столовую (если услуга раздачи не предоставляется по</w:t>
      </w:r>
      <w:r>
        <w:t xml:space="preserve">ставщиком питания в рамках заключенного </w:t>
      </w:r>
      <w:r>
        <w:lastRenderedPageBreak/>
        <w:t>договора).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При наличии договора на организацию питания с внешней компанией должности, указанные выше, могут вводиться только в случае, если соответствующая услуга не предусмотрена договором.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2. Должности работников д</w:t>
      </w:r>
      <w:r>
        <w:t>ля обслуживания отопительных систем предусматриваются: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при наличии центрального отопления - одна должность машиниста (кочегара) в смену в каждой котельной, а в котельных, применяющих твердые виды топлива (торф, каменный уголь), с поверхностью нагрева кот</w:t>
      </w:r>
      <w:r>
        <w:t>лов более 75 кв. м - две должности кочегара в смену в каждой котельной;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при газовом отоплении - одна должность машиниста (кочегара) в смену, а в котельных, не имеющих автоматики безопасности, - две должности в смену;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при централизованном теплоснабжении</w:t>
      </w:r>
      <w:r>
        <w:t xml:space="preserve"> (ТЭЦ) в учреждениях, имеющих тепловой пункт или элеватор, - одна должность рабочего по обслуживанию и ремонту зданий, а при наличии бойлеров, насосов - одна должность такого рабочего в смену;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при наличии печного отопления - 0,5 единицы должности истопни</w:t>
      </w:r>
      <w:r>
        <w:t>ка на каждые пять печей, но не менее одной должности на организацию.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Должности кочегаров, истопников и рабочих по обслуживанию и текущему ремонту зданий, предусмотренные для обслуживания отопительных систем, устанавливаются на отопительный сезон. Из общего</w:t>
      </w:r>
      <w:r>
        <w:t xml:space="preserve"> числа указанных должностей одна должность (0,5 единицы должности истопника) устанавливается на круглый год.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3. Общеобразовательная организация, имеющая в своей структуре интернат, предусмотренный для проживания обучающихся, обеспечивает введение в штат ор</w:t>
      </w:r>
      <w:r>
        <w:t>ганизации дополнительных должностей работников в зависимости от количества обучающихся, проживающих в интернате: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дополнительная должность заместителя директора по учебно-воспитательной (воспитательной) работе при проживании в интернате не менее 100 обуча</w:t>
      </w:r>
      <w:r>
        <w:t>ющихся. При меньшем количестве обучающихся руководство деятельностью интерната возлагается на одного из заместителей;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- 0,5 единицы должности заведующего хозяйством;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- дополнительные должности работников кухни, уборщиков служебных помещений, кастелянши.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До</w:t>
      </w:r>
      <w:r>
        <w:t>лжности воспитателей предусматриваются из расчета на каждую группу обучающихся 25 - 30 человек с учетом продолжительности их пребывания в интернате, а также нормы 30 часов педагогической работы, установленной за ставку заработной платы воспитателей. Должно</w:t>
      </w:r>
      <w:r>
        <w:t>сти помощников воспитателей (младших воспитателей) устанавливаются на каждый спальный корпус. В интернате с числом проживающих более 100 обучающихся должности помощников воспитателей (младших воспитателей) устанавливаются из расчета две единицы на каждый э</w:t>
      </w:r>
      <w:r>
        <w:t>таж спального корпуса.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4. В общеобразовательной организации, осуществляющей образовательную деятельность по образовательным программам дошкольного образования, для определения численности педагогического и учебно-вспомогательного персонала, а также персона</w:t>
      </w:r>
      <w:r>
        <w:t xml:space="preserve">ла, занятого обслуживанием обучающихся дошкольного возраста, рекомендуется применять </w:t>
      </w:r>
      <w:hyperlink r:id="rId39" w:tooltip="Постановление Минтруда РФ от 21.04.1993 N 88 &quot;Об утверждении Нормативов по определению численности персонала, занятого обслуживанием дошкольных учреждений (ясли, ясли-сады, детские сады)&quot; {КонсультантПлюс}">
        <w:r>
          <w:rPr>
            <w:color w:val="0000FF"/>
          </w:rPr>
          <w:t>нормативы</w:t>
        </w:r>
      </w:hyperlink>
      <w:r>
        <w:t xml:space="preserve"> по определению численности персонала, занятого обслуживанием дошкольных учреждений, утвержденные постановлением Мин</w:t>
      </w:r>
      <w:r>
        <w:t>труда России N 88, с учетом положений, предусмотренных в приложении 3, определяющих примерные штатные нормативы численности работников дошкольных образовательных организаций.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При наличии обучающихся с ограниченными возможностями здоровья следует руководств</w:t>
      </w:r>
      <w:r>
        <w:t xml:space="preserve">оваться </w:t>
      </w:r>
      <w:hyperlink r:id="rId40" w:tooltip="Приказ Минпросвещения России от 31.07.2020 N 373 (ред. от 25.10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">
        <w:r>
          <w:rPr>
            <w:color w:val="0000FF"/>
          </w:rPr>
          <w:t>разделом III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t>мам дошкольного образования, утвержденного приказом Минпросвещения России N 373.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 xml:space="preserve">5. При осуществлении образовательной деятельности по дополнительным общеобразовательным </w:t>
      </w:r>
      <w:r>
        <w:lastRenderedPageBreak/>
        <w:t xml:space="preserve">программам следует руководствоваться </w:t>
      </w:r>
      <w:hyperlink r:id="rId41" w:tooltip="Приказ Минпросвещения России от 27.07.2022 N 629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6.09.2022 N 70226) {КонсультантПлюс}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N 629.</w:t>
      </w:r>
    </w:p>
    <w:p w:rsidR="00430F81" w:rsidRDefault="00672929">
      <w:pPr>
        <w:pStyle w:val="ConsPlusNormal0"/>
        <w:spacing w:before="200"/>
        <w:ind w:firstLine="540"/>
        <w:jc w:val="both"/>
      </w:pPr>
      <w:r>
        <w:t>Должности педагогических и иных работников ус</w:t>
      </w:r>
      <w:r>
        <w:t>танавливаются с учетом количества групп обучающихся, их возрастных категорий, направленности дополнительных общеобразовательных программ (технической, естественно-научной, физкультурно-спортивной, художественной, туристско-краеведческой, социально-гуманита</w:t>
      </w:r>
      <w:r>
        <w:t>рной).</w:t>
      </w:r>
    </w:p>
    <w:p w:rsidR="00430F81" w:rsidRDefault="00430F81">
      <w:pPr>
        <w:pStyle w:val="ConsPlusNormal0"/>
        <w:ind w:firstLine="540"/>
        <w:jc w:val="both"/>
      </w:pPr>
    </w:p>
    <w:p w:rsidR="00430F81" w:rsidRDefault="00430F81">
      <w:pPr>
        <w:pStyle w:val="ConsPlusNormal0"/>
        <w:ind w:firstLine="540"/>
        <w:jc w:val="both"/>
      </w:pPr>
    </w:p>
    <w:p w:rsidR="00430F81" w:rsidRDefault="00430F8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0F81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29" w:rsidRDefault="00672929">
      <w:r>
        <w:separator/>
      </w:r>
    </w:p>
  </w:endnote>
  <w:endnote w:type="continuationSeparator" w:id="0">
    <w:p w:rsidR="00672929" w:rsidRDefault="006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81" w:rsidRDefault="00430F8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30F8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30F81" w:rsidRDefault="006729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30F81" w:rsidRDefault="006729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30F81" w:rsidRDefault="006729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D777E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D777E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430F81" w:rsidRDefault="0067292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81" w:rsidRDefault="00430F8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30F8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30F81" w:rsidRDefault="006729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30F81" w:rsidRDefault="006729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30F81" w:rsidRDefault="006729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D777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D777E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430F81" w:rsidRDefault="0067292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29" w:rsidRDefault="00672929">
      <w:r>
        <w:separator/>
      </w:r>
    </w:p>
  </w:footnote>
  <w:footnote w:type="continuationSeparator" w:id="0">
    <w:p w:rsidR="00672929" w:rsidRDefault="0067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30F8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30F81" w:rsidRDefault="006729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23.06.2025 N ОК-1835/08</w:t>
          </w:r>
          <w:r>
            <w:rPr>
              <w:rFonts w:ascii="Tahoma" w:hAnsi="Tahoma" w:cs="Tahoma"/>
              <w:sz w:val="16"/>
              <w:szCs w:val="16"/>
            </w:rPr>
            <w:br/>
            <w:t>"О примерных штатных нормативах"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"Общими положениями...</w:t>
          </w:r>
        </w:p>
      </w:tc>
      <w:tc>
        <w:tcPr>
          <w:tcW w:w="2300" w:type="pct"/>
          <w:vAlign w:val="center"/>
        </w:tcPr>
        <w:p w:rsidR="00430F81" w:rsidRDefault="006729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430F81" w:rsidRDefault="00430F8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30F81" w:rsidRDefault="00430F8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30F8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30F81" w:rsidRDefault="006729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23.06.2025 N ОК-1835/08</w:t>
          </w:r>
          <w:r>
            <w:rPr>
              <w:rFonts w:ascii="Tahoma" w:hAnsi="Tahoma" w:cs="Tahoma"/>
              <w:sz w:val="16"/>
              <w:szCs w:val="16"/>
            </w:rPr>
            <w:br/>
            <w:t>"О примерных штатных нормативах"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(вместе с "Общими </w:t>
          </w:r>
          <w:r>
            <w:rPr>
              <w:rFonts w:ascii="Tahoma" w:hAnsi="Tahoma" w:cs="Tahoma"/>
              <w:sz w:val="16"/>
              <w:szCs w:val="16"/>
            </w:rPr>
            <w:t>положениями...</w:t>
          </w:r>
        </w:p>
      </w:tc>
      <w:tc>
        <w:tcPr>
          <w:tcW w:w="2300" w:type="pct"/>
          <w:vAlign w:val="center"/>
        </w:tcPr>
        <w:p w:rsidR="00430F81" w:rsidRDefault="006729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430F81" w:rsidRDefault="00430F8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30F81" w:rsidRDefault="00430F8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81"/>
    <w:rsid w:val="00430F81"/>
    <w:rsid w:val="005D777E"/>
    <w:rsid w:val="006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F616-9207-46BA-9306-1BA02C5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R&amp;n=502632&amp;dst=345" TargetMode="External"/><Relationship Id="rId18" Type="http://schemas.openxmlformats.org/officeDocument/2006/relationships/hyperlink" Target="https://login.consultant.ru/link/?req=doc&amp;base=RZR&amp;n=502785" TargetMode="External"/><Relationship Id="rId26" Type="http://schemas.openxmlformats.org/officeDocument/2006/relationships/hyperlink" Target="https://login.consultant.ru/link/?req=doc&amp;base=RZR&amp;n=98656" TargetMode="External"/><Relationship Id="rId39" Type="http://schemas.openxmlformats.org/officeDocument/2006/relationships/hyperlink" Target="https://login.consultant.ru/link/?req=doc&amp;base=RZR&amp;n=98656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27531" TargetMode="External"/><Relationship Id="rId34" Type="http://schemas.openxmlformats.org/officeDocument/2006/relationships/hyperlink" Target="https://login.consultant.ru/link/?req=doc&amp;base=RZR&amp;n=490344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ZR&amp;n=505886" TargetMode="External"/><Relationship Id="rId17" Type="http://schemas.openxmlformats.org/officeDocument/2006/relationships/hyperlink" Target="https://login.consultant.ru/link/?req=doc&amp;base=RZR&amp;n=155090" TargetMode="External"/><Relationship Id="rId25" Type="http://schemas.openxmlformats.org/officeDocument/2006/relationships/hyperlink" Target="https://login.consultant.ru/link/?req=doc&amp;base=RZR&amp;n=505026" TargetMode="External"/><Relationship Id="rId33" Type="http://schemas.openxmlformats.org/officeDocument/2006/relationships/hyperlink" Target="https://login.consultant.ru/link/?req=doc&amp;base=RZR&amp;n=411674&amp;dst=100010" TargetMode="External"/><Relationship Id="rId38" Type="http://schemas.openxmlformats.org/officeDocument/2006/relationships/hyperlink" Target="https://login.consultant.ru/link/?req=doc&amp;base=RZR&amp;n=502632&amp;dst=277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16278" TargetMode="External"/><Relationship Id="rId20" Type="http://schemas.openxmlformats.org/officeDocument/2006/relationships/hyperlink" Target="https://login.consultant.ru/link/?req=doc&amp;base=RZR&amp;n=436600" TargetMode="External"/><Relationship Id="rId29" Type="http://schemas.openxmlformats.org/officeDocument/2006/relationships/hyperlink" Target="https://login.consultant.ru/link/?req=doc&amp;base=RZR&amp;n=495816&amp;dst=100161" TargetMode="External"/><Relationship Id="rId41" Type="http://schemas.openxmlformats.org/officeDocument/2006/relationships/hyperlink" Target="https://login.consultant.ru/link/?req=doc&amp;base=RZR&amp;n=427531&amp;dst=1000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505886&amp;dst=100385" TargetMode="External"/><Relationship Id="rId24" Type="http://schemas.openxmlformats.org/officeDocument/2006/relationships/hyperlink" Target="https://login.consultant.ru/link/?req=doc&amp;base=RZR&amp;n=504817" TargetMode="External"/><Relationship Id="rId32" Type="http://schemas.openxmlformats.org/officeDocument/2006/relationships/hyperlink" Target="https://login.consultant.ru/link/?req=doc&amp;base=RZR&amp;n=460354" TargetMode="External"/><Relationship Id="rId37" Type="http://schemas.openxmlformats.org/officeDocument/2006/relationships/hyperlink" Target="https://login.consultant.ru/link/?req=doc&amp;base=RZR&amp;n=486034&amp;dst=100047" TargetMode="External"/><Relationship Id="rId40" Type="http://schemas.openxmlformats.org/officeDocument/2006/relationships/hyperlink" Target="https://login.consultant.ru/link/?req=doc&amp;base=RZR&amp;n=462845&amp;dst=100062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480743&amp;dst=100009" TargetMode="External"/><Relationship Id="rId23" Type="http://schemas.openxmlformats.org/officeDocument/2006/relationships/hyperlink" Target="https://login.consultant.ru/link/?req=doc&amp;base=RZR&amp;n=429349" TargetMode="External"/><Relationship Id="rId28" Type="http://schemas.openxmlformats.org/officeDocument/2006/relationships/hyperlink" Target="https://login.consultant.ru/link/?req=doc&amp;base=RZR&amp;n=214720" TargetMode="External"/><Relationship Id="rId36" Type="http://schemas.openxmlformats.org/officeDocument/2006/relationships/hyperlink" Target="https://login.consultant.ru/link/?req=doc&amp;base=RZR&amp;n=486034&amp;dst=100452" TargetMode="External"/><Relationship Id="rId10" Type="http://schemas.openxmlformats.org/officeDocument/2006/relationships/hyperlink" Target="https://login.consultant.ru/link/?req=doc&amp;base=RZR&amp;n=500246" TargetMode="External"/><Relationship Id="rId19" Type="http://schemas.openxmlformats.org/officeDocument/2006/relationships/hyperlink" Target="https://login.consultant.ru/link/?req=doc&amp;base=RZR&amp;n=462845" TargetMode="External"/><Relationship Id="rId31" Type="http://schemas.openxmlformats.org/officeDocument/2006/relationships/hyperlink" Target="https://login.consultant.ru/link/?req=doc&amp;base=RZR&amp;n=368777&amp;dst=100007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486345" TargetMode="External"/><Relationship Id="rId14" Type="http://schemas.openxmlformats.org/officeDocument/2006/relationships/hyperlink" Target="https://login.consultant.ru/link/?req=doc&amp;base=RZR&amp;n=502632" TargetMode="External"/><Relationship Id="rId22" Type="http://schemas.openxmlformats.org/officeDocument/2006/relationships/hyperlink" Target="https://login.consultant.ru/link/?req=doc&amp;base=RZR&amp;n=491063" TargetMode="External"/><Relationship Id="rId27" Type="http://schemas.openxmlformats.org/officeDocument/2006/relationships/hyperlink" Target="https://login.consultant.ru/link/?req=doc&amp;base=RZR&amp;n=486034" TargetMode="External"/><Relationship Id="rId30" Type="http://schemas.openxmlformats.org/officeDocument/2006/relationships/hyperlink" Target="https://login.consultant.ru/link/?req=doc&amp;base=RZR&amp;n=382199" TargetMode="External"/><Relationship Id="rId35" Type="http://schemas.openxmlformats.org/officeDocument/2006/relationships/hyperlink" Target="https://login.consultant.ru/link/?req=doc&amp;base=EXP&amp;n=579778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23.06.2025 N ОК-1835/08
"О примерных штатных нормативах"
(вместе с "Общими положениями", "Примерными штатными нормативами численности работников общеобразовательных организаций")</vt:lpstr>
    </vt:vector>
  </TitlesOfParts>
  <Company>КонсультантПлюс Версия 4025.00.02</Company>
  <LinksUpToDate>false</LinksUpToDate>
  <CharactersWithSpaces>36250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23.06.2025 N ОК-1835/08
"О примерных штатных нормативах"
(вместе с "Общими положениями", "Примерными штатными нормативами численности работников общеобразовательных организаций")</dc:title>
  <dc:creator>MA_Voronkova</dc:creator>
  <cp:lastModifiedBy>MA_Voronkova</cp:lastModifiedBy>
  <cp:revision>2</cp:revision>
  <dcterms:created xsi:type="dcterms:W3CDTF">2025-08-01T06:38:00Z</dcterms:created>
  <dcterms:modified xsi:type="dcterms:W3CDTF">2025-08-01T06:38:00Z</dcterms:modified>
</cp:coreProperties>
</file>